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12BC" w14:textId="334A48D7" w:rsidR="008F04F6" w:rsidRDefault="003E008A">
      <w:r>
        <w:rPr>
          <w:noProof/>
        </w:rPr>
        <w:drawing>
          <wp:anchor distT="114300" distB="114300" distL="114300" distR="114300" simplePos="0" relativeHeight="251658240" behindDoc="1" locked="0" layoutInCell="1" hidden="0" allowOverlap="1" wp14:anchorId="74B18315" wp14:editId="1E32F91F">
            <wp:simplePos x="0" y="0"/>
            <wp:positionH relativeFrom="page">
              <wp:posOffset>5080</wp:posOffset>
            </wp:positionH>
            <wp:positionV relativeFrom="page">
              <wp:posOffset>19050</wp:posOffset>
            </wp:positionV>
            <wp:extent cx="7559040" cy="10697210"/>
            <wp:effectExtent l="0" t="0" r="3810" b="8890"/>
            <wp:wrapNone/>
            <wp:docPr id="292" name="image2.jpg"/>
            <wp:cNvGraphicFramePr/>
            <a:graphic xmlns:a="http://schemas.openxmlformats.org/drawingml/2006/main">
              <a:graphicData uri="http://schemas.openxmlformats.org/drawingml/2006/picture">
                <pic:pic xmlns:pic="http://schemas.openxmlformats.org/drawingml/2006/picture">
                  <pic:nvPicPr>
                    <pic:cNvPr id="292" name="image2.jpg"/>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7559040" cy="10697210"/>
                    </a:xfrm>
                    <a:prstGeom prst="rect">
                      <a:avLst/>
                    </a:prstGeom>
                    <a:ln/>
                  </pic:spPr>
                </pic:pic>
              </a:graphicData>
            </a:graphic>
          </wp:anchor>
        </w:drawing>
      </w:r>
    </w:p>
    <w:p w14:paraId="3C4C223D" w14:textId="77777777" w:rsidR="00E73DF7" w:rsidRDefault="00E73DF7"/>
    <w:sdt>
      <w:sdtPr>
        <w:id w:val="1151716098"/>
        <w:docPartObj>
          <w:docPartGallery w:val="Cover Pages"/>
          <w:docPartUnique/>
        </w:docPartObj>
      </w:sdtPr>
      <w:sdtEndPr>
        <w:rPr>
          <w:b/>
          <w:bCs/>
          <w:sz w:val="28"/>
          <w:szCs w:val="28"/>
        </w:rPr>
      </w:sdtEndPr>
      <w:sdtContent>
        <w:p w14:paraId="1D118800" w14:textId="1DC896B4" w:rsidR="00017A8A" w:rsidRDefault="00017A8A"/>
        <w:p w14:paraId="4BC75CEF" w14:textId="3A8441D2" w:rsidR="00017A8A" w:rsidRDefault="008F04F6">
          <w:pPr>
            <w:rPr>
              <w:b/>
              <w:sz w:val="28"/>
              <w:szCs w:val="28"/>
            </w:rPr>
          </w:pPr>
          <w:r>
            <w:rPr>
              <w:noProof/>
            </w:rPr>
            <mc:AlternateContent>
              <mc:Choice Requires="wps">
                <w:drawing>
                  <wp:anchor distT="0" distB="0" distL="114300" distR="114300" simplePos="0" relativeHeight="251658241" behindDoc="0" locked="0" layoutInCell="1" hidden="0" allowOverlap="1" wp14:anchorId="50114D1F" wp14:editId="07FCC71A">
                    <wp:simplePos x="0" y="0"/>
                    <wp:positionH relativeFrom="margin">
                      <wp:posOffset>-400050</wp:posOffset>
                    </wp:positionH>
                    <wp:positionV relativeFrom="margin">
                      <wp:posOffset>3708400</wp:posOffset>
                    </wp:positionV>
                    <wp:extent cx="5521325" cy="1765300"/>
                    <wp:effectExtent l="0" t="0" r="3175" b="6350"/>
                    <wp:wrapNone/>
                    <wp:docPr id="291" name="Rectangle 291"/>
                    <wp:cNvGraphicFramePr/>
                    <a:graphic xmlns:a="http://schemas.openxmlformats.org/drawingml/2006/main">
                      <a:graphicData uri="http://schemas.microsoft.com/office/word/2010/wordprocessingShape">
                        <wps:wsp>
                          <wps:cNvSpPr/>
                          <wps:spPr>
                            <a:xfrm>
                              <a:off x="0" y="0"/>
                              <a:ext cx="5521325" cy="1765300"/>
                            </a:xfrm>
                            <a:prstGeom prst="rect">
                              <a:avLst/>
                            </a:prstGeom>
                            <a:noFill/>
                            <a:ln>
                              <a:noFill/>
                            </a:ln>
                          </wps:spPr>
                          <wps:txbx>
                            <w:txbxContent>
                              <w:p w14:paraId="5E5253C7" w14:textId="23BABE54" w:rsidR="008F04F6" w:rsidRPr="00DD1FC8" w:rsidRDefault="003E008A" w:rsidP="008F04F6">
                                <w:pPr>
                                  <w:spacing w:before="120" w:line="258" w:lineRule="auto"/>
                                  <w:textDirection w:val="btLr"/>
                                  <w:rPr>
                                    <w:rFonts w:ascii="Arial" w:eastAsia="Arial" w:hAnsi="Arial" w:cs="Arial"/>
                                    <w:b/>
                                    <w:color w:val="262626"/>
                                    <w:sz w:val="56"/>
                                    <w:szCs w:val="20"/>
                                  </w:rPr>
                                </w:pPr>
                                <w:r w:rsidRPr="00DD1FC8">
                                  <w:rPr>
                                    <w:rFonts w:ascii="Arial" w:eastAsia="Arial" w:hAnsi="Arial" w:cs="Arial"/>
                                    <w:b/>
                                    <w:color w:val="262626"/>
                                    <w:sz w:val="56"/>
                                    <w:szCs w:val="20"/>
                                  </w:rPr>
                                  <w:t>HE Tuition Fees and Charges Policy</w:t>
                                </w:r>
                                <w:r w:rsidR="00443519" w:rsidRPr="00DD1FC8">
                                  <w:rPr>
                                    <w:rFonts w:ascii="Arial" w:eastAsia="Arial" w:hAnsi="Arial" w:cs="Arial"/>
                                    <w:b/>
                                    <w:color w:val="262626"/>
                                    <w:sz w:val="56"/>
                                    <w:szCs w:val="20"/>
                                  </w:rPr>
                                  <w:t xml:space="preserve"> 2025</w:t>
                                </w:r>
                                <w:r w:rsidR="00F675A6" w:rsidRPr="00DD1FC8">
                                  <w:rPr>
                                    <w:rFonts w:ascii="Arial" w:eastAsia="Arial" w:hAnsi="Arial" w:cs="Arial"/>
                                    <w:b/>
                                    <w:color w:val="262626"/>
                                    <w:sz w:val="56"/>
                                    <w:szCs w:val="20"/>
                                  </w:rPr>
                                  <w:t>-</w:t>
                                </w:r>
                                <w:r w:rsidR="00DD1FC8" w:rsidRPr="00DD1FC8">
                                  <w:rPr>
                                    <w:rFonts w:ascii="Arial" w:eastAsia="Arial" w:hAnsi="Arial" w:cs="Arial"/>
                                    <w:b/>
                                    <w:color w:val="262626"/>
                                    <w:sz w:val="56"/>
                                    <w:szCs w:val="20"/>
                                  </w:rPr>
                                  <w:t>20</w:t>
                                </w:r>
                                <w:r w:rsidR="00443519" w:rsidRPr="00DD1FC8">
                                  <w:rPr>
                                    <w:rFonts w:ascii="Arial" w:eastAsia="Arial" w:hAnsi="Arial" w:cs="Arial"/>
                                    <w:b/>
                                    <w:color w:val="262626"/>
                                    <w:sz w:val="56"/>
                                    <w:szCs w:val="20"/>
                                  </w:rPr>
                                  <w:t>26</w:t>
                                </w:r>
                              </w:p>
                              <w:p w14:paraId="1764DC5A" w14:textId="77777777" w:rsidR="008F04F6" w:rsidRDefault="008F04F6" w:rsidP="008F04F6">
                                <w:pPr>
                                  <w:spacing w:before="120" w:line="258" w:lineRule="auto"/>
                                  <w:textDirection w:val="btLr"/>
                                </w:pPr>
                                <w:r>
                                  <w:rPr>
                                    <w:color w:val="002060"/>
                                    <w:sz w:val="44"/>
                                  </w:rPr>
                                  <w:t xml:space="preserve">[Document Reference:] </w:t>
                                </w:r>
                              </w:p>
                            </w:txbxContent>
                          </wps:txbx>
                          <wps:bodyPr spcFirstLastPara="1" wrap="square" lIns="0" tIns="0" rIns="0" bIns="0" anchor="t" anchorCtr="0">
                            <a:noAutofit/>
                          </wps:bodyPr>
                        </wps:wsp>
                      </a:graphicData>
                    </a:graphic>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rect id="Rectangle 291" style="position:absolute;margin-left:-31.5pt;margin-top:292pt;width:434.75pt;height:139pt;z-index:251658241;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spid="_x0000_s1026" filled="f" stroked="f" w14:anchorId="50114D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">
                    <v:textbox inset="0,0,0,0">
                      <w:txbxContent>
                        <w:p w:rsidRPr="00DD1FC8" w:rsidR="008F04F6" w:rsidP="008F04F6" w:rsidRDefault="003E008A" w14:paraId="5E5253C7" w14:textId="23BABE54">
                          <w:pPr>
                            <w:spacing w:before="120" w:line="258" w:lineRule="auto"/>
                            <w:textDirection w:val="btLr"/>
                            <w:rPr>
                              <w:rFonts w:ascii="Arial" w:hAnsi="Arial" w:eastAsia="Arial" w:cs="Arial"/>
                              <w:b/>
                              <w:color w:val="262626"/>
                              <w:sz w:val="56"/>
                              <w:szCs w:val="20"/>
                            </w:rPr>
                          </w:pPr>
                          <w:r w:rsidRPr="00DD1FC8">
                            <w:rPr>
                              <w:rFonts w:ascii="Arial" w:hAnsi="Arial" w:eastAsia="Arial" w:cs="Arial"/>
                              <w:b/>
                              <w:color w:val="262626"/>
                              <w:sz w:val="56"/>
                              <w:szCs w:val="20"/>
                            </w:rPr>
                            <w:t>HE Tuition Fees and Charges Policy</w:t>
                          </w:r>
                          <w:r w:rsidRPr="00DD1FC8" w:rsidR="00443519">
                            <w:rPr>
                              <w:rFonts w:ascii="Arial" w:hAnsi="Arial" w:eastAsia="Arial" w:cs="Arial"/>
                              <w:b/>
                              <w:color w:val="262626"/>
                              <w:sz w:val="56"/>
                              <w:szCs w:val="20"/>
                            </w:rPr>
                            <w:t xml:space="preserve"> 2025</w:t>
                          </w:r>
                          <w:r w:rsidRPr="00DD1FC8" w:rsidR="00F675A6">
                            <w:rPr>
                              <w:rFonts w:ascii="Arial" w:hAnsi="Arial" w:eastAsia="Arial" w:cs="Arial"/>
                              <w:b/>
                              <w:color w:val="262626"/>
                              <w:sz w:val="56"/>
                              <w:szCs w:val="20"/>
                            </w:rPr>
                            <w:t>-</w:t>
                          </w:r>
                          <w:r w:rsidRPr="00DD1FC8" w:rsidR="00DD1FC8">
                            <w:rPr>
                              <w:rFonts w:ascii="Arial" w:hAnsi="Arial" w:eastAsia="Arial" w:cs="Arial"/>
                              <w:b/>
                              <w:color w:val="262626"/>
                              <w:sz w:val="56"/>
                              <w:szCs w:val="20"/>
                            </w:rPr>
                            <w:t>20</w:t>
                          </w:r>
                          <w:r w:rsidRPr="00DD1FC8" w:rsidR="00443519">
                            <w:rPr>
                              <w:rFonts w:ascii="Arial" w:hAnsi="Arial" w:eastAsia="Arial" w:cs="Arial"/>
                              <w:b/>
                              <w:color w:val="262626"/>
                              <w:sz w:val="56"/>
                              <w:szCs w:val="20"/>
                            </w:rPr>
                            <w:t>26</w:t>
                          </w:r>
                        </w:p>
                        <w:p w:rsidR="008F04F6" w:rsidP="008F04F6" w:rsidRDefault="008F04F6" w14:paraId="1764DC5A" w14:textId="77777777">
                          <w:pPr>
                            <w:spacing w:before="120" w:line="258" w:lineRule="auto"/>
                            <w:textDirection w:val="btLr"/>
                          </w:pPr>
                          <w:r>
                            <w:rPr>
                              <w:color w:val="002060"/>
                              <w:sz w:val="44"/>
                            </w:rPr>
                            <w:t xml:space="preserve">[Document Reference:] </w:t>
                          </w:r>
                        </w:p>
                      </w:txbxContent>
                    </v:textbox>
                    <w10:wrap anchorx="margin" anchory="margin"/>
                  </v:rect>
                </w:pict>
              </mc:Fallback>
            </mc:AlternateContent>
          </w:r>
          <w:r w:rsidR="00017A8A">
            <w:rPr>
              <w:b/>
              <w:sz w:val="28"/>
              <w:szCs w:val="28"/>
            </w:rPr>
            <w:br w:type="page"/>
          </w:r>
        </w:p>
      </w:sdtContent>
    </w:sdt>
    <w:p w14:paraId="00000003" w14:textId="37D6F024" w:rsidR="00D5218E" w:rsidRDefault="00FA63DC">
      <w:pPr>
        <w:spacing w:after="0" w:line="240" w:lineRule="auto"/>
        <w:rPr>
          <w:b/>
          <w:sz w:val="28"/>
          <w:szCs w:val="28"/>
        </w:rPr>
      </w:pPr>
      <w:r>
        <w:rPr>
          <w:b/>
          <w:sz w:val="28"/>
          <w:szCs w:val="28"/>
        </w:rPr>
        <w:lastRenderedPageBreak/>
        <w:t>Document administration</w:t>
      </w:r>
    </w:p>
    <w:p w14:paraId="00000004" w14:textId="77777777" w:rsidR="00D5218E" w:rsidRDefault="00D5218E">
      <w:pPr>
        <w:spacing w:after="0" w:line="240" w:lineRule="auto"/>
        <w:rPr>
          <w:sz w:val="24"/>
          <w:szCs w:val="24"/>
        </w:rPr>
      </w:pPr>
    </w:p>
    <w:tbl>
      <w:tblPr>
        <w:tblStyle w:val="TableGrid"/>
        <w:tblW w:w="9072" w:type="dxa"/>
        <w:tblInd w:w="-5" w:type="dxa"/>
        <w:tblLook w:val="04A0" w:firstRow="1" w:lastRow="0" w:firstColumn="1" w:lastColumn="0" w:noHBand="0" w:noVBand="1"/>
      </w:tblPr>
      <w:tblGrid>
        <w:gridCol w:w="3705"/>
        <w:gridCol w:w="2910"/>
        <w:gridCol w:w="2457"/>
      </w:tblGrid>
      <w:tr w:rsidR="00C638F4" w:rsidRPr="005B3137" w14:paraId="713ECF28" w14:textId="77777777" w:rsidTr="0D24CF0E">
        <w:trPr>
          <w:trHeight w:val="454"/>
        </w:trPr>
        <w:tc>
          <w:tcPr>
            <w:tcW w:w="3705" w:type="dxa"/>
            <w:shd w:val="clear" w:color="auto" w:fill="D9D9D9" w:themeFill="background1" w:themeFillShade="D9"/>
            <w:vAlign w:val="center"/>
          </w:tcPr>
          <w:p w14:paraId="725BCA7E" w14:textId="77777777" w:rsidR="00C638F4" w:rsidRPr="008451F8" w:rsidRDefault="00C638F4" w:rsidP="00C638F4">
            <w:pPr>
              <w:pStyle w:val="NoSpacing"/>
              <w:jc w:val="both"/>
              <w:rPr>
                <w:rFonts w:cstheme="minorHAnsi"/>
                <w:b/>
                <w:bCs/>
                <w:sz w:val="24"/>
                <w:szCs w:val="24"/>
              </w:rPr>
            </w:pPr>
            <w:r w:rsidRPr="008451F8">
              <w:rPr>
                <w:rFonts w:cstheme="minorHAnsi"/>
                <w:b/>
                <w:bCs/>
                <w:sz w:val="24"/>
                <w:szCs w:val="24"/>
              </w:rPr>
              <w:t>Policy family</w:t>
            </w:r>
          </w:p>
        </w:tc>
        <w:sdt>
          <w:sdtPr>
            <w:rPr>
              <w:rFonts w:cstheme="minorBidi"/>
              <w:sz w:val="24"/>
              <w:szCs w:val="24"/>
            </w:rPr>
            <w:alias w:val="Policy family"/>
            <w:tag w:val="Policy family"/>
            <w:id w:val="-1298445716"/>
            <w:placeholder>
              <w:docPart w:val="E38095781F4346578235CE9F52C8DB78"/>
            </w:placeholder>
            <w15:color w:val="CC99FF"/>
            <w:dropDownList>
              <w:listItem w:value="Choose an item."/>
              <w:listItem w:displayText="Learning" w:value="Learning"/>
              <w:listItem w:displayText="People" w:value="People"/>
              <w:listItem w:displayText="Partnerships" w:value="Partnerships"/>
              <w:listItem w:displayText="Sustainability" w:value="Sustainability"/>
            </w:dropDownList>
          </w:sdtPr>
          <w:sdtContent>
            <w:tc>
              <w:tcPr>
                <w:tcW w:w="5367" w:type="dxa"/>
                <w:gridSpan w:val="2"/>
                <w:vAlign w:val="center"/>
              </w:tcPr>
              <w:p w14:paraId="46742867" w14:textId="34A8288C" w:rsidR="00C638F4" w:rsidRPr="00086286" w:rsidRDefault="002127C6" w:rsidP="00EB72A6">
                <w:pPr>
                  <w:pStyle w:val="NoSpacing"/>
                  <w:rPr>
                    <w:rFonts w:cstheme="minorHAnsi"/>
                    <w:sz w:val="24"/>
                    <w:szCs w:val="24"/>
                  </w:rPr>
                </w:pPr>
                <w:r>
                  <w:rPr>
                    <w:rFonts w:cstheme="minorBidi"/>
                    <w:sz w:val="24"/>
                    <w:szCs w:val="24"/>
                  </w:rPr>
                  <w:t>Sustainability</w:t>
                </w:r>
              </w:p>
            </w:tc>
          </w:sdtContent>
        </w:sdt>
      </w:tr>
      <w:tr w:rsidR="00C638F4" w:rsidRPr="005B3137" w14:paraId="54F5DBF4" w14:textId="77777777" w:rsidTr="0D24CF0E">
        <w:trPr>
          <w:trHeight w:val="454"/>
        </w:trPr>
        <w:tc>
          <w:tcPr>
            <w:tcW w:w="3705" w:type="dxa"/>
            <w:shd w:val="clear" w:color="auto" w:fill="D9D9D9" w:themeFill="background1" w:themeFillShade="D9"/>
            <w:vAlign w:val="center"/>
          </w:tcPr>
          <w:p w14:paraId="119E2646" w14:textId="77777777" w:rsidR="00C638F4" w:rsidRPr="008451F8" w:rsidRDefault="00C638F4" w:rsidP="00C638F4">
            <w:pPr>
              <w:pStyle w:val="NoSpacing"/>
              <w:jc w:val="both"/>
              <w:rPr>
                <w:rFonts w:cstheme="minorHAnsi"/>
                <w:b/>
                <w:bCs/>
                <w:sz w:val="24"/>
                <w:szCs w:val="24"/>
              </w:rPr>
            </w:pPr>
            <w:r w:rsidRPr="008451F8">
              <w:rPr>
                <w:rFonts w:cstheme="minorHAnsi"/>
                <w:b/>
                <w:bCs/>
                <w:sz w:val="24"/>
                <w:szCs w:val="24"/>
              </w:rPr>
              <w:t>ELT owner</w:t>
            </w:r>
          </w:p>
        </w:tc>
        <w:sdt>
          <w:sdtPr>
            <w:rPr>
              <w:rFonts w:cstheme="minorBidi"/>
              <w:sz w:val="24"/>
              <w:szCs w:val="24"/>
            </w:rPr>
            <w:alias w:val="ELT owner"/>
            <w:tag w:val="ELT owner"/>
            <w:id w:val="-1525779816"/>
            <w:placeholder>
              <w:docPart w:val="188B39E6BC2C4558837FD7D09EBFB9D2"/>
            </w:placeholder>
            <w15:color w:val="CC99FF"/>
            <w:dropDownList>
              <w:listItem w:value="Choose an item."/>
              <w:listItem w:displayText="Chief Executive and Principal" w:value="Chief Executive and Principal"/>
              <w:listItem w:displayText="Deputy Chief Executive" w:value="Deputy Chief Executive"/>
              <w:listItem w:displayText="Deputy Principal" w:value="Deputy Principal"/>
              <w:listItem w:displayText="Executive Director of People" w:value="Executive Director of People"/>
              <w:listItem w:displayText="Executive Director of Finance" w:value="Executive Director of Finance"/>
              <w:listItem w:displayText="Executive Director of Strategy and Systems Improvement" w:value="Executive Director of Strategy and Systems Improvement"/>
              <w:listItem w:displayText="Director of Governance" w:value="Director of Governance"/>
            </w:dropDownList>
          </w:sdtPr>
          <w:sdtContent>
            <w:tc>
              <w:tcPr>
                <w:tcW w:w="5367" w:type="dxa"/>
                <w:gridSpan w:val="2"/>
                <w:vAlign w:val="center"/>
              </w:tcPr>
              <w:p w14:paraId="7B2EFEE7" w14:textId="45D9D302" w:rsidR="00C638F4" w:rsidRPr="00086286" w:rsidRDefault="00DE5084" w:rsidP="00EB72A6">
                <w:pPr>
                  <w:pStyle w:val="NoSpacing"/>
                  <w:rPr>
                    <w:rFonts w:cstheme="minorHAnsi"/>
                    <w:sz w:val="24"/>
                    <w:szCs w:val="24"/>
                  </w:rPr>
                </w:pPr>
                <w:r>
                  <w:rPr>
                    <w:rFonts w:cstheme="minorBidi"/>
                    <w:sz w:val="24"/>
                    <w:szCs w:val="24"/>
                  </w:rPr>
                  <w:t>Executive Director of Strategy and Systems Improvement</w:t>
                </w:r>
              </w:p>
            </w:tc>
          </w:sdtContent>
        </w:sdt>
      </w:tr>
      <w:tr w:rsidR="00C638F4" w:rsidRPr="005B3137" w14:paraId="07CE960A" w14:textId="77777777" w:rsidTr="0D24CF0E">
        <w:trPr>
          <w:trHeight w:val="454"/>
        </w:trPr>
        <w:tc>
          <w:tcPr>
            <w:tcW w:w="3705" w:type="dxa"/>
            <w:tcBorders>
              <w:bottom w:val="single" w:sz="4" w:space="0" w:color="auto"/>
            </w:tcBorders>
            <w:shd w:val="clear" w:color="auto" w:fill="D9D9D9" w:themeFill="background1" w:themeFillShade="D9"/>
            <w:vAlign w:val="center"/>
          </w:tcPr>
          <w:p w14:paraId="7703F92D" w14:textId="77777777" w:rsidR="00C638F4" w:rsidRPr="008451F8" w:rsidRDefault="00C638F4" w:rsidP="00C638F4">
            <w:pPr>
              <w:pStyle w:val="NoSpacing"/>
              <w:jc w:val="both"/>
              <w:rPr>
                <w:rFonts w:cstheme="minorHAnsi"/>
                <w:b/>
                <w:bCs/>
                <w:sz w:val="24"/>
                <w:szCs w:val="24"/>
              </w:rPr>
            </w:pPr>
            <w:r w:rsidRPr="008451F8">
              <w:rPr>
                <w:rFonts w:cstheme="minorHAnsi"/>
                <w:b/>
                <w:bCs/>
                <w:sz w:val="24"/>
                <w:szCs w:val="24"/>
              </w:rPr>
              <w:t>SLT lead</w:t>
            </w:r>
          </w:p>
        </w:tc>
        <w:tc>
          <w:tcPr>
            <w:tcW w:w="5367" w:type="dxa"/>
            <w:gridSpan w:val="2"/>
            <w:tcBorders>
              <w:bottom w:val="single" w:sz="4" w:space="0" w:color="auto"/>
            </w:tcBorders>
            <w:vAlign w:val="center"/>
          </w:tcPr>
          <w:p w14:paraId="6E7B35DF" w14:textId="40BC8249" w:rsidR="00C638F4" w:rsidRPr="00086286" w:rsidRDefault="00AD6406" w:rsidP="00EB72A6">
            <w:pPr>
              <w:pStyle w:val="NoSpacing"/>
              <w:rPr>
                <w:rFonts w:cstheme="minorHAnsi"/>
                <w:sz w:val="24"/>
                <w:szCs w:val="24"/>
              </w:rPr>
            </w:pPr>
            <w:r>
              <w:rPr>
                <w:rFonts w:cstheme="minorHAnsi"/>
                <w:sz w:val="24"/>
                <w:szCs w:val="24"/>
              </w:rPr>
              <w:t>Assistant Principal – Higher Education</w:t>
            </w:r>
          </w:p>
        </w:tc>
      </w:tr>
      <w:tr w:rsidR="00C638F4" w:rsidRPr="005B3137" w14:paraId="17203E8D" w14:textId="77777777" w:rsidTr="0D24CF0E">
        <w:trPr>
          <w:trHeight w:val="454"/>
        </w:trPr>
        <w:tc>
          <w:tcPr>
            <w:tcW w:w="3705" w:type="dxa"/>
            <w:tcBorders>
              <w:bottom w:val="double" w:sz="6" w:space="0" w:color="auto"/>
            </w:tcBorders>
            <w:shd w:val="clear" w:color="auto" w:fill="D9D9D9" w:themeFill="background1" w:themeFillShade="D9"/>
            <w:vAlign w:val="center"/>
          </w:tcPr>
          <w:p w14:paraId="1B5EB203" w14:textId="77777777" w:rsidR="00C638F4" w:rsidRPr="008451F8" w:rsidRDefault="00C638F4" w:rsidP="00C638F4">
            <w:pPr>
              <w:pStyle w:val="NoSpacing"/>
              <w:jc w:val="both"/>
              <w:rPr>
                <w:rFonts w:cstheme="minorHAnsi"/>
                <w:b/>
                <w:bCs/>
                <w:sz w:val="24"/>
                <w:szCs w:val="24"/>
              </w:rPr>
            </w:pPr>
            <w:r w:rsidRPr="008451F8">
              <w:rPr>
                <w:rFonts w:cstheme="minorHAnsi"/>
                <w:b/>
                <w:bCs/>
                <w:sz w:val="24"/>
                <w:szCs w:val="24"/>
              </w:rPr>
              <w:t>Department</w:t>
            </w:r>
          </w:p>
        </w:tc>
        <w:tc>
          <w:tcPr>
            <w:tcW w:w="5367" w:type="dxa"/>
            <w:gridSpan w:val="2"/>
            <w:tcBorders>
              <w:bottom w:val="double" w:sz="6" w:space="0" w:color="auto"/>
            </w:tcBorders>
            <w:vAlign w:val="center"/>
          </w:tcPr>
          <w:p w14:paraId="1ADFCF4B" w14:textId="556CA69D" w:rsidR="00C638F4" w:rsidRPr="00086286" w:rsidRDefault="00AD6406" w:rsidP="00EB72A6">
            <w:pPr>
              <w:pStyle w:val="NoSpacing"/>
              <w:rPr>
                <w:rFonts w:cstheme="minorHAnsi"/>
                <w:sz w:val="24"/>
                <w:szCs w:val="24"/>
              </w:rPr>
            </w:pPr>
            <w:r>
              <w:rPr>
                <w:rFonts w:cstheme="minorHAnsi"/>
                <w:sz w:val="24"/>
                <w:szCs w:val="24"/>
              </w:rPr>
              <w:t xml:space="preserve">Higher Education </w:t>
            </w:r>
          </w:p>
        </w:tc>
      </w:tr>
      <w:tr w:rsidR="00C638F4" w:rsidRPr="005B3137" w14:paraId="1FE99ECE" w14:textId="77777777" w:rsidTr="0D24CF0E">
        <w:trPr>
          <w:trHeight w:val="454"/>
        </w:trPr>
        <w:tc>
          <w:tcPr>
            <w:tcW w:w="3705" w:type="dxa"/>
            <w:tcBorders>
              <w:top w:val="double" w:sz="6" w:space="0" w:color="auto"/>
            </w:tcBorders>
            <w:shd w:val="clear" w:color="auto" w:fill="D9D9D9" w:themeFill="background1" w:themeFillShade="D9"/>
            <w:vAlign w:val="center"/>
          </w:tcPr>
          <w:p w14:paraId="4B0C5394" w14:textId="77777777" w:rsidR="00C638F4" w:rsidRPr="008451F8" w:rsidRDefault="00C638F4" w:rsidP="00C638F4">
            <w:pPr>
              <w:pStyle w:val="NoSpacing"/>
              <w:jc w:val="both"/>
              <w:rPr>
                <w:rFonts w:cstheme="minorHAnsi"/>
                <w:b/>
                <w:bCs/>
                <w:sz w:val="24"/>
                <w:szCs w:val="24"/>
              </w:rPr>
            </w:pPr>
            <w:r>
              <w:rPr>
                <w:rFonts w:cstheme="minorHAnsi"/>
                <w:b/>
                <w:bCs/>
                <w:sz w:val="24"/>
                <w:szCs w:val="24"/>
              </w:rPr>
              <w:t>Final a</w:t>
            </w:r>
            <w:r w:rsidRPr="008451F8">
              <w:rPr>
                <w:rFonts w:cstheme="minorHAnsi"/>
                <w:b/>
                <w:bCs/>
                <w:sz w:val="24"/>
                <w:szCs w:val="24"/>
              </w:rPr>
              <w:t>pprov</w:t>
            </w:r>
            <w:r>
              <w:rPr>
                <w:rFonts w:cstheme="minorHAnsi"/>
                <w:b/>
                <w:bCs/>
                <w:sz w:val="24"/>
                <w:szCs w:val="24"/>
              </w:rPr>
              <w:t>ing body</w:t>
            </w:r>
          </w:p>
        </w:tc>
        <w:sdt>
          <w:sdtPr>
            <w:rPr>
              <w:rFonts w:cstheme="minorHAnsi"/>
              <w:sz w:val="24"/>
              <w:szCs w:val="24"/>
            </w:rPr>
            <w:alias w:val="Final approving body"/>
            <w:tag w:val="Final approving body"/>
            <w:id w:val="-1932497129"/>
            <w:placeholder>
              <w:docPart w:val="8D9CA0691E83404C88E91BFAD74D2119"/>
            </w:placeholder>
            <w15:color w:val="CC99FF"/>
            <w:comboBox>
              <w:listItem w:value="Choose an item."/>
              <w:listItem w:displayText="Governing Body" w:value="Governing Body"/>
              <w:listItem w:displayText="Finance, Employment, and General Purposes Committee" w:value="Finance, Employment, and General Purposes Committee"/>
              <w:listItem w:displayText="Teaching, Learning, Quality and Student Experience Committee" w:value="Teaching, Learning, Quality and Student Experience Committee"/>
              <w:listItem w:displayText="Audit and Risk Assurance Committee" w:value="Audit and Risk Assurance Committee"/>
              <w:listItem w:displayText="Executive Leadership Team" w:value="Executive Leadership Team"/>
              <w:listItem w:displayText="Joint Consultative Committee" w:value="Joint Consultative Committee"/>
            </w:comboBox>
          </w:sdtPr>
          <w:sdtContent>
            <w:tc>
              <w:tcPr>
                <w:tcW w:w="5367" w:type="dxa"/>
                <w:gridSpan w:val="2"/>
                <w:tcBorders>
                  <w:top w:val="double" w:sz="6" w:space="0" w:color="auto"/>
                </w:tcBorders>
                <w:vAlign w:val="center"/>
              </w:tcPr>
              <w:p w14:paraId="32EF42FC" w14:textId="4D5FDFE7" w:rsidR="00C638F4" w:rsidRDefault="002127C6" w:rsidP="00EB72A6">
                <w:pPr>
                  <w:pStyle w:val="NoSpacing"/>
                  <w:rPr>
                    <w:rFonts w:cstheme="minorHAnsi"/>
                    <w:sz w:val="24"/>
                    <w:szCs w:val="24"/>
                  </w:rPr>
                </w:pPr>
                <w:r>
                  <w:rPr>
                    <w:rFonts w:cstheme="minorHAnsi"/>
                    <w:sz w:val="24"/>
                    <w:szCs w:val="24"/>
                  </w:rPr>
                  <w:t>Finance, Employment, and General Purposes Committee</w:t>
                </w:r>
              </w:p>
            </w:tc>
          </w:sdtContent>
        </w:sdt>
      </w:tr>
      <w:tr w:rsidR="00C638F4" w:rsidRPr="005B3137" w14:paraId="251E8C9C" w14:textId="77777777" w:rsidTr="0D24CF0E">
        <w:trPr>
          <w:trHeight w:val="454"/>
        </w:trPr>
        <w:tc>
          <w:tcPr>
            <w:tcW w:w="3705" w:type="dxa"/>
            <w:tcBorders>
              <w:bottom w:val="double" w:sz="6" w:space="0" w:color="auto"/>
            </w:tcBorders>
            <w:shd w:val="clear" w:color="auto" w:fill="D9D9D9" w:themeFill="background1" w:themeFillShade="D9"/>
            <w:vAlign w:val="center"/>
          </w:tcPr>
          <w:p w14:paraId="607E15D5" w14:textId="77777777" w:rsidR="00C638F4" w:rsidRPr="008451F8" w:rsidRDefault="00C638F4" w:rsidP="00C638F4">
            <w:pPr>
              <w:pStyle w:val="NoSpacing"/>
              <w:jc w:val="both"/>
              <w:rPr>
                <w:rFonts w:cstheme="minorHAnsi"/>
                <w:b/>
                <w:bCs/>
                <w:sz w:val="24"/>
                <w:szCs w:val="24"/>
              </w:rPr>
            </w:pPr>
            <w:r w:rsidRPr="008451F8">
              <w:rPr>
                <w:rFonts w:cstheme="minorHAnsi"/>
                <w:b/>
                <w:bCs/>
                <w:sz w:val="24"/>
                <w:szCs w:val="24"/>
              </w:rPr>
              <w:t>Approval date</w:t>
            </w:r>
          </w:p>
        </w:tc>
        <w:sdt>
          <w:sdtPr>
            <w:rPr>
              <w:rFonts w:cstheme="minorHAnsi"/>
              <w:sz w:val="24"/>
              <w:szCs w:val="24"/>
            </w:rPr>
            <w:alias w:val="Approval date"/>
            <w:tag w:val="Approval date"/>
            <w:id w:val="-877473799"/>
            <w:placeholder>
              <w:docPart w:val="34B1BAFBDC5447AE9042BCB6B76FE1CB"/>
            </w:placeholder>
            <w15:color w:val="CC99FF"/>
            <w:date w:fullDate="2024-09-18T00:00:00Z">
              <w:dateFormat w:val="dd MMMM yyyy"/>
              <w:lid w:val="en-GB"/>
              <w:storeMappedDataAs w:val="dateTime"/>
              <w:calendar w:val="gregorian"/>
            </w:date>
          </w:sdtPr>
          <w:sdtContent>
            <w:tc>
              <w:tcPr>
                <w:tcW w:w="5367" w:type="dxa"/>
                <w:gridSpan w:val="2"/>
                <w:tcBorders>
                  <w:bottom w:val="double" w:sz="6" w:space="0" w:color="auto"/>
                </w:tcBorders>
                <w:vAlign w:val="center"/>
              </w:tcPr>
              <w:p w14:paraId="601873C7" w14:textId="7513A3A4" w:rsidR="00C638F4" w:rsidRPr="00086286" w:rsidRDefault="002127C6" w:rsidP="00EB72A6">
                <w:pPr>
                  <w:pStyle w:val="NoSpacing"/>
                  <w:rPr>
                    <w:rFonts w:cstheme="minorHAnsi"/>
                    <w:sz w:val="24"/>
                    <w:szCs w:val="24"/>
                  </w:rPr>
                </w:pPr>
                <w:r>
                  <w:rPr>
                    <w:rFonts w:cstheme="minorHAnsi"/>
                    <w:sz w:val="24"/>
                    <w:szCs w:val="24"/>
                    <w:lang w:val="en-GB"/>
                  </w:rPr>
                  <w:t>18 September 2024</w:t>
                </w:r>
              </w:p>
            </w:tc>
          </w:sdtContent>
        </w:sdt>
      </w:tr>
      <w:tr w:rsidR="00C638F4" w:rsidRPr="005B3137" w14:paraId="38189035" w14:textId="77777777" w:rsidTr="0D24CF0E">
        <w:trPr>
          <w:trHeight w:val="454"/>
        </w:trPr>
        <w:tc>
          <w:tcPr>
            <w:tcW w:w="3705" w:type="dxa"/>
            <w:tcBorders>
              <w:top w:val="double" w:sz="6" w:space="0" w:color="auto"/>
            </w:tcBorders>
            <w:shd w:val="clear" w:color="auto" w:fill="D9D9D9" w:themeFill="background1" w:themeFillShade="D9"/>
            <w:vAlign w:val="center"/>
          </w:tcPr>
          <w:p w14:paraId="2005050E" w14:textId="77777777" w:rsidR="00C638F4" w:rsidRPr="008451F8" w:rsidRDefault="00C638F4" w:rsidP="00C638F4">
            <w:pPr>
              <w:pStyle w:val="NoSpacing"/>
              <w:jc w:val="both"/>
              <w:rPr>
                <w:rFonts w:cstheme="minorHAnsi"/>
                <w:b/>
                <w:bCs/>
                <w:sz w:val="24"/>
                <w:szCs w:val="24"/>
              </w:rPr>
            </w:pPr>
            <w:r>
              <w:rPr>
                <w:rFonts w:cstheme="minorHAnsi"/>
                <w:b/>
                <w:bCs/>
                <w:sz w:val="24"/>
                <w:szCs w:val="24"/>
              </w:rPr>
              <w:t>Review frequency</w:t>
            </w:r>
          </w:p>
        </w:tc>
        <w:tc>
          <w:tcPr>
            <w:tcW w:w="5367" w:type="dxa"/>
            <w:gridSpan w:val="2"/>
            <w:tcBorders>
              <w:top w:val="double" w:sz="6" w:space="0" w:color="auto"/>
            </w:tcBorders>
            <w:vAlign w:val="center"/>
          </w:tcPr>
          <w:p w14:paraId="7B9FAF64" w14:textId="209A0CFB" w:rsidR="00C638F4" w:rsidRDefault="00596DFD" w:rsidP="00EB72A6">
            <w:pPr>
              <w:pStyle w:val="NoSpacing"/>
              <w:rPr>
                <w:rFonts w:cstheme="minorHAnsi"/>
                <w:sz w:val="24"/>
                <w:szCs w:val="24"/>
              </w:rPr>
            </w:pPr>
            <w:r>
              <w:rPr>
                <w:rFonts w:cstheme="minorHAnsi"/>
                <w:sz w:val="24"/>
                <w:szCs w:val="24"/>
              </w:rPr>
              <w:t>Annually</w:t>
            </w:r>
          </w:p>
        </w:tc>
      </w:tr>
      <w:tr w:rsidR="00C638F4" w:rsidRPr="005B3137" w14:paraId="69911B14" w14:textId="77777777" w:rsidTr="0D24CF0E">
        <w:trPr>
          <w:trHeight w:val="454"/>
        </w:trPr>
        <w:tc>
          <w:tcPr>
            <w:tcW w:w="3705" w:type="dxa"/>
            <w:tcBorders>
              <w:bottom w:val="double" w:sz="6" w:space="0" w:color="auto"/>
            </w:tcBorders>
            <w:shd w:val="clear" w:color="auto" w:fill="D9D9D9" w:themeFill="background1" w:themeFillShade="D9"/>
            <w:vAlign w:val="center"/>
          </w:tcPr>
          <w:p w14:paraId="216104EB" w14:textId="0D66045F" w:rsidR="00C638F4" w:rsidRPr="008451F8" w:rsidRDefault="00C638F4" w:rsidP="00C638F4">
            <w:pPr>
              <w:pStyle w:val="NoSpacing"/>
              <w:jc w:val="both"/>
              <w:rPr>
                <w:rFonts w:cstheme="minorHAnsi"/>
                <w:b/>
                <w:bCs/>
                <w:sz w:val="24"/>
                <w:szCs w:val="24"/>
              </w:rPr>
            </w:pPr>
            <w:r w:rsidRPr="008451F8">
              <w:rPr>
                <w:rFonts w:cstheme="minorHAnsi"/>
                <w:b/>
                <w:bCs/>
                <w:sz w:val="24"/>
                <w:szCs w:val="24"/>
              </w:rPr>
              <w:t xml:space="preserve">Next </w:t>
            </w:r>
            <w:r>
              <w:rPr>
                <w:rFonts w:cstheme="minorHAnsi"/>
                <w:b/>
                <w:bCs/>
                <w:sz w:val="24"/>
                <w:szCs w:val="24"/>
              </w:rPr>
              <w:t>reapproval</w:t>
            </w:r>
            <w:r w:rsidRPr="008451F8">
              <w:rPr>
                <w:rFonts w:cstheme="minorHAnsi"/>
                <w:b/>
                <w:bCs/>
                <w:sz w:val="24"/>
                <w:szCs w:val="24"/>
              </w:rPr>
              <w:t xml:space="preserve"> date</w:t>
            </w:r>
          </w:p>
        </w:tc>
        <w:sdt>
          <w:sdtPr>
            <w:rPr>
              <w:rFonts w:cstheme="minorHAnsi"/>
              <w:sz w:val="24"/>
              <w:szCs w:val="24"/>
            </w:rPr>
            <w:alias w:val="Next review date"/>
            <w:tag w:val="Next review date"/>
            <w:id w:val="-1874764472"/>
            <w:placeholder>
              <w:docPart w:val="34B1BAFBDC5447AE9042BCB6B76FE1CB"/>
            </w:placeholder>
            <w15:color w:val="CC99FF"/>
            <w:date w:fullDate="2025-06-30T00:00:00Z">
              <w:dateFormat w:val="dd MMMM yyyy"/>
              <w:lid w:val="en-GB"/>
              <w:storeMappedDataAs w:val="dateTime"/>
              <w:calendar w:val="gregorian"/>
            </w:date>
          </w:sdtPr>
          <w:sdtContent>
            <w:tc>
              <w:tcPr>
                <w:tcW w:w="5367" w:type="dxa"/>
                <w:gridSpan w:val="2"/>
                <w:tcBorders>
                  <w:bottom w:val="double" w:sz="6" w:space="0" w:color="auto"/>
                </w:tcBorders>
                <w:vAlign w:val="center"/>
              </w:tcPr>
              <w:p w14:paraId="22065FAC" w14:textId="50E71F1D" w:rsidR="00C638F4" w:rsidRPr="00086286" w:rsidRDefault="002127C6" w:rsidP="00EB72A6">
                <w:pPr>
                  <w:pStyle w:val="NoSpacing"/>
                  <w:rPr>
                    <w:rFonts w:cstheme="minorHAnsi"/>
                    <w:sz w:val="24"/>
                    <w:szCs w:val="24"/>
                  </w:rPr>
                </w:pPr>
                <w:r>
                  <w:rPr>
                    <w:rFonts w:cstheme="minorHAnsi"/>
                    <w:sz w:val="24"/>
                    <w:szCs w:val="24"/>
                    <w:lang w:val="en-GB"/>
                  </w:rPr>
                  <w:t>30 June 2025</w:t>
                </w:r>
              </w:p>
            </w:tc>
          </w:sdtContent>
        </w:sdt>
      </w:tr>
      <w:tr w:rsidR="00C638F4" w:rsidRPr="005B3137" w14:paraId="166D26E6" w14:textId="77777777" w:rsidTr="0D24CF0E">
        <w:trPr>
          <w:trHeight w:val="454"/>
        </w:trPr>
        <w:tc>
          <w:tcPr>
            <w:tcW w:w="3705" w:type="dxa"/>
            <w:tcBorders>
              <w:top w:val="double" w:sz="6" w:space="0" w:color="auto"/>
              <w:bottom w:val="double" w:sz="6" w:space="0" w:color="auto"/>
            </w:tcBorders>
            <w:shd w:val="clear" w:color="auto" w:fill="D9D9D9" w:themeFill="background1" w:themeFillShade="D9"/>
            <w:vAlign w:val="center"/>
          </w:tcPr>
          <w:p w14:paraId="7EC8C70C" w14:textId="77777777" w:rsidR="00C638F4" w:rsidRPr="008451F8" w:rsidRDefault="00C638F4" w:rsidP="00C638F4">
            <w:pPr>
              <w:pStyle w:val="NoSpacing"/>
              <w:jc w:val="both"/>
              <w:rPr>
                <w:rFonts w:cstheme="minorHAnsi"/>
                <w:b/>
                <w:bCs/>
                <w:sz w:val="24"/>
                <w:szCs w:val="24"/>
              </w:rPr>
            </w:pPr>
            <w:r w:rsidRPr="008451F8">
              <w:rPr>
                <w:rFonts w:cstheme="minorHAnsi"/>
                <w:b/>
                <w:bCs/>
                <w:sz w:val="24"/>
                <w:szCs w:val="24"/>
              </w:rPr>
              <w:t>Equality impact assessment</w:t>
            </w:r>
          </w:p>
        </w:tc>
        <w:tc>
          <w:tcPr>
            <w:tcW w:w="2910" w:type="dxa"/>
            <w:tcBorders>
              <w:top w:val="double" w:sz="6" w:space="0" w:color="auto"/>
              <w:bottom w:val="double" w:sz="6" w:space="0" w:color="auto"/>
            </w:tcBorders>
            <w:vAlign w:val="center"/>
          </w:tcPr>
          <w:p w14:paraId="77891011" w14:textId="77777777" w:rsidR="00C638F4" w:rsidRDefault="00C638F4" w:rsidP="00EB72A6">
            <w:pPr>
              <w:pStyle w:val="NoSpacing"/>
              <w:jc w:val="center"/>
              <w:rPr>
                <w:rFonts w:cstheme="minorHAnsi"/>
                <w:sz w:val="24"/>
                <w:szCs w:val="24"/>
              </w:rPr>
            </w:pPr>
            <w:r>
              <w:rPr>
                <w:rFonts w:cstheme="minorHAnsi"/>
                <w:sz w:val="24"/>
                <w:szCs w:val="24"/>
              </w:rPr>
              <w:t>Completion date:</w:t>
            </w:r>
          </w:p>
          <w:p w14:paraId="603A4DFD" w14:textId="77777777" w:rsidR="00C638F4" w:rsidRDefault="00C638F4" w:rsidP="00EB72A6">
            <w:pPr>
              <w:pStyle w:val="NoSpacing"/>
              <w:jc w:val="center"/>
              <w:rPr>
                <w:rFonts w:cstheme="minorHAnsi"/>
                <w:sz w:val="24"/>
                <w:szCs w:val="24"/>
              </w:rPr>
            </w:pPr>
            <w:r>
              <w:rPr>
                <w:rFonts w:cstheme="minorHAnsi"/>
                <w:sz w:val="24"/>
                <w:szCs w:val="24"/>
              </w:rPr>
              <w:t xml:space="preserve"> </w:t>
            </w:r>
            <w:sdt>
              <w:sdtPr>
                <w:rPr>
                  <w:rFonts w:cstheme="minorHAnsi"/>
                  <w:sz w:val="24"/>
                  <w:szCs w:val="24"/>
                </w:rPr>
                <w:alias w:val="EIA completion date"/>
                <w:tag w:val="EIA completion date"/>
                <w:id w:val="645098423"/>
                <w:placeholder>
                  <w:docPart w:val="C93AD8E28E144C3FB8D3D5ED53F9ED43"/>
                </w:placeholder>
                <w:showingPlcHdr/>
                <w15:color w:val="CC99FF"/>
                <w:date>
                  <w:dateFormat w:val="dd MMMM yyyy"/>
                  <w:lid w:val="en-GB"/>
                  <w:storeMappedDataAs w:val="dateTime"/>
                  <w:calendar w:val="gregorian"/>
                </w:date>
              </w:sdtPr>
              <w:sdtContent>
                <w:r w:rsidRPr="009734C2">
                  <w:rPr>
                    <w:rStyle w:val="PlaceholderText"/>
                  </w:rPr>
                  <w:t>Click or tap to enter a date.</w:t>
                </w:r>
              </w:sdtContent>
            </w:sdt>
          </w:p>
        </w:tc>
        <w:tc>
          <w:tcPr>
            <w:tcW w:w="2457" w:type="dxa"/>
            <w:tcBorders>
              <w:top w:val="double" w:sz="6" w:space="0" w:color="auto"/>
              <w:bottom w:val="double" w:sz="6" w:space="0" w:color="auto"/>
            </w:tcBorders>
            <w:vAlign w:val="center"/>
          </w:tcPr>
          <w:p w14:paraId="37CEDFD1" w14:textId="6149FCF8" w:rsidR="00C638F4" w:rsidRDefault="00C638F4" w:rsidP="6E1108C8">
            <w:pPr>
              <w:pStyle w:val="NoSpacing"/>
              <w:jc w:val="center"/>
              <w:rPr>
                <w:rFonts w:cstheme="minorBidi"/>
                <w:sz w:val="24"/>
                <w:szCs w:val="24"/>
              </w:rPr>
            </w:pPr>
            <w:r w:rsidRPr="0D24CF0E">
              <w:rPr>
                <w:rFonts w:cstheme="minorBidi"/>
                <w:sz w:val="24"/>
                <w:szCs w:val="24"/>
              </w:rPr>
              <w:t>E</w:t>
            </w:r>
            <w:r w:rsidR="172F7169" w:rsidRPr="0D24CF0E">
              <w:rPr>
                <w:rFonts w:cstheme="minorBidi"/>
                <w:sz w:val="24"/>
                <w:szCs w:val="24"/>
              </w:rPr>
              <w:t>Q</w:t>
            </w:r>
            <w:r w:rsidRPr="0D24CF0E">
              <w:rPr>
                <w:rFonts w:cstheme="minorBidi"/>
                <w:sz w:val="24"/>
                <w:szCs w:val="24"/>
              </w:rPr>
              <w:t xml:space="preserve">IA not required </w:t>
            </w:r>
            <w:sdt>
              <w:sdtPr>
                <w:rPr>
                  <w:rFonts w:cstheme="minorBidi"/>
                  <w:sz w:val="24"/>
                  <w:szCs w:val="24"/>
                </w:rPr>
                <w:id w:val="-1736851990"/>
                <w14:checkbox>
                  <w14:checked w14:val="1"/>
                  <w14:checkedState w14:val="2612" w14:font="MS Gothic"/>
                  <w14:uncheckedState w14:val="2610" w14:font="MS Gothic"/>
                </w14:checkbox>
              </w:sdtPr>
              <w:sdtContent>
                <w:r w:rsidR="00B35C27">
                  <w:rPr>
                    <w:rFonts w:ascii="MS Gothic" w:eastAsia="MS Gothic" w:hAnsi="MS Gothic" w:cstheme="minorBidi" w:hint="eastAsia"/>
                    <w:sz w:val="24"/>
                    <w:szCs w:val="24"/>
                  </w:rPr>
                  <w:t>☒</w:t>
                </w:r>
              </w:sdtContent>
            </w:sdt>
          </w:p>
        </w:tc>
      </w:tr>
      <w:tr w:rsidR="00C638F4" w:rsidRPr="005B3137" w14:paraId="3FD002F8" w14:textId="77777777" w:rsidTr="0D24CF0E">
        <w:trPr>
          <w:trHeight w:val="454"/>
        </w:trPr>
        <w:tc>
          <w:tcPr>
            <w:tcW w:w="3705" w:type="dxa"/>
            <w:tcBorders>
              <w:top w:val="double" w:sz="6" w:space="0" w:color="auto"/>
            </w:tcBorders>
            <w:shd w:val="clear" w:color="auto" w:fill="D9D9D9" w:themeFill="background1" w:themeFillShade="D9"/>
            <w:vAlign w:val="center"/>
          </w:tcPr>
          <w:p w14:paraId="747A1474" w14:textId="77777777" w:rsidR="00C638F4" w:rsidRPr="008451F8" w:rsidRDefault="00C638F4" w:rsidP="00C638F4">
            <w:pPr>
              <w:pStyle w:val="NoSpacing"/>
              <w:jc w:val="both"/>
              <w:rPr>
                <w:rFonts w:cstheme="minorHAnsi"/>
                <w:b/>
                <w:bCs/>
                <w:sz w:val="24"/>
                <w:szCs w:val="24"/>
              </w:rPr>
            </w:pPr>
            <w:r w:rsidRPr="008451F8">
              <w:rPr>
                <w:rFonts w:cstheme="minorHAnsi"/>
                <w:b/>
                <w:bCs/>
                <w:sz w:val="24"/>
                <w:szCs w:val="24"/>
              </w:rPr>
              <w:t>Publication</w:t>
            </w:r>
          </w:p>
        </w:tc>
        <w:tc>
          <w:tcPr>
            <w:tcW w:w="2910" w:type="dxa"/>
            <w:tcBorders>
              <w:top w:val="double" w:sz="6" w:space="0" w:color="auto"/>
            </w:tcBorders>
            <w:vAlign w:val="center"/>
          </w:tcPr>
          <w:p w14:paraId="0A6F8A40" w14:textId="0AE12B38" w:rsidR="00C638F4" w:rsidRDefault="00C638F4" w:rsidP="00EB72A6">
            <w:pPr>
              <w:pStyle w:val="NoSpacing"/>
              <w:jc w:val="center"/>
              <w:rPr>
                <w:rFonts w:cstheme="minorHAnsi"/>
                <w:sz w:val="24"/>
                <w:szCs w:val="24"/>
              </w:rPr>
            </w:pPr>
            <w:r>
              <w:rPr>
                <w:rFonts w:cstheme="minorHAnsi"/>
                <w:sz w:val="24"/>
                <w:szCs w:val="24"/>
              </w:rPr>
              <w:t xml:space="preserve">Staff intranet </w:t>
            </w:r>
            <w:sdt>
              <w:sdtPr>
                <w:rPr>
                  <w:rFonts w:cstheme="minorHAnsi"/>
                  <w:sz w:val="24"/>
                  <w:szCs w:val="24"/>
                </w:rPr>
                <w:id w:val="107001304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p>
        </w:tc>
        <w:tc>
          <w:tcPr>
            <w:tcW w:w="2457" w:type="dxa"/>
            <w:tcBorders>
              <w:top w:val="double" w:sz="6" w:space="0" w:color="auto"/>
            </w:tcBorders>
            <w:vAlign w:val="center"/>
          </w:tcPr>
          <w:p w14:paraId="74176023" w14:textId="45070239" w:rsidR="00C638F4" w:rsidRDefault="00C638F4" w:rsidP="00EB72A6">
            <w:pPr>
              <w:pStyle w:val="NoSpacing"/>
              <w:jc w:val="center"/>
              <w:rPr>
                <w:rFonts w:cstheme="minorHAnsi"/>
                <w:sz w:val="24"/>
                <w:szCs w:val="24"/>
              </w:rPr>
            </w:pPr>
            <w:r>
              <w:rPr>
                <w:rFonts w:cstheme="minorHAnsi"/>
                <w:sz w:val="24"/>
                <w:szCs w:val="24"/>
              </w:rPr>
              <w:t xml:space="preserve">External website </w:t>
            </w:r>
            <w:sdt>
              <w:sdtPr>
                <w:rPr>
                  <w:rFonts w:cstheme="minorHAnsi"/>
                  <w:sz w:val="24"/>
                  <w:szCs w:val="24"/>
                </w:rPr>
                <w:id w:val="1331409950"/>
                <w14:checkbox>
                  <w14:checked w14:val="1"/>
                  <w14:checkedState w14:val="2612" w14:font="MS Gothic"/>
                  <w14:uncheckedState w14:val="2610" w14:font="MS Gothic"/>
                </w14:checkbox>
              </w:sdtPr>
              <w:sdtContent>
                <w:r w:rsidR="002127C6">
                  <w:rPr>
                    <w:rFonts w:ascii="MS Gothic" w:eastAsia="MS Gothic" w:hAnsi="MS Gothic" w:cstheme="minorHAnsi" w:hint="eastAsia"/>
                    <w:sz w:val="24"/>
                    <w:szCs w:val="24"/>
                  </w:rPr>
                  <w:t>☒</w:t>
                </w:r>
              </w:sdtContent>
            </w:sdt>
          </w:p>
        </w:tc>
      </w:tr>
    </w:tbl>
    <w:p w14:paraId="41218E87" w14:textId="77777777" w:rsidR="00C638F4" w:rsidRDefault="00C638F4"/>
    <w:p w14:paraId="390C00C7" w14:textId="77777777" w:rsidR="00C638F4" w:rsidRDefault="00C638F4"/>
    <w:p w14:paraId="00000025" w14:textId="3F65A231" w:rsidR="00C638F4" w:rsidRDefault="00C638F4">
      <w:pPr>
        <w:rPr>
          <w:b/>
          <w:sz w:val="28"/>
          <w:szCs w:val="28"/>
        </w:rPr>
        <w:sectPr w:rsidR="00C638F4" w:rsidSect="00DB4588">
          <w:footerReference w:type="default" r:id="rId13"/>
          <w:footerReference w:type="first" r:id="rId14"/>
          <w:pgSz w:w="11906" w:h="16838"/>
          <w:pgMar w:top="1440" w:right="1440" w:bottom="1440" w:left="1440" w:header="708" w:footer="708" w:gutter="0"/>
          <w:pgNumType w:start="0"/>
          <w:cols w:space="720"/>
          <w:titlePg/>
          <w:docGrid w:linePitch="299"/>
        </w:sectPr>
      </w:pPr>
    </w:p>
    <w:p w14:paraId="00000026" w14:textId="77777777" w:rsidR="00D5218E" w:rsidRDefault="00FA63DC">
      <w:pPr>
        <w:spacing w:after="0" w:line="240" w:lineRule="auto"/>
        <w:rPr>
          <w:b/>
          <w:sz w:val="28"/>
          <w:szCs w:val="28"/>
        </w:rPr>
      </w:pPr>
      <w:r>
        <w:rPr>
          <w:b/>
          <w:sz w:val="28"/>
          <w:szCs w:val="28"/>
        </w:rPr>
        <w:lastRenderedPageBreak/>
        <w:t>Version control log</w:t>
      </w:r>
    </w:p>
    <w:p w14:paraId="00000027" w14:textId="77777777" w:rsidR="00D5218E" w:rsidRDefault="00D5218E">
      <w:pPr>
        <w:spacing w:after="0" w:line="240" w:lineRule="auto"/>
        <w:rPr>
          <w:sz w:val="24"/>
          <w:szCs w:val="24"/>
        </w:rPr>
      </w:pPr>
    </w:p>
    <w:tbl>
      <w:tblPr>
        <w:tblW w:w="139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559"/>
        <w:gridCol w:w="7654"/>
        <w:gridCol w:w="3180"/>
      </w:tblGrid>
      <w:tr w:rsidR="00D5218E" w14:paraId="47DB9693" w14:textId="77777777">
        <w:trPr>
          <w:trHeight w:val="340"/>
        </w:trPr>
        <w:tc>
          <w:tcPr>
            <w:tcW w:w="1560" w:type="dxa"/>
            <w:shd w:val="clear" w:color="auto" w:fill="D9D9D9"/>
            <w:vAlign w:val="center"/>
          </w:tcPr>
          <w:p w14:paraId="00000028" w14:textId="77777777" w:rsidR="00D5218E" w:rsidRDefault="00FA63DC">
            <w:pPr>
              <w:pBdr>
                <w:top w:val="nil"/>
                <w:left w:val="nil"/>
                <w:bottom w:val="nil"/>
                <w:right w:val="nil"/>
                <w:between w:val="nil"/>
              </w:pBdr>
              <w:rPr>
                <w:b/>
                <w:color w:val="000000"/>
                <w:sz w:val="24"/>
                <w:szCs w:val="24"/>
              </w:rPr>
            </w:pPr>
            <w:r>
              <w:rPr>
                <w:b/>
                <w:color w:val="000000"/>
                <w:sz w:val="24"/>
                <w:szCs w:val="24"/>
              </w:rPr>
              <w:t>Date</w:t>
            </w:r>
          </w:p>
        </w:tc>
        <w:tc>
          <w:tcPr>
            <w:tcW w:w="1559" w:type="dxa"/>
            <w:shd w:val="clear" w:color="auto" w:fill="D9D9D9"/>
            <w:vAlign w:val="center"/>
          </w:tcPr>
          <w:p w14:paraId="00000029" w14:textId="77777777" w:rsidR="00D5218E" w:rsidRDefault="00FA63DC">
            <w:pPr>
              <w:pBdr>
                <w:top w:val="nil"/>
                <w:left w:val="nil"/>
                <w:bottom w:val="nil"/>
                <w:right w:val="nil"/>
                <w:between w:val="nil"/>
              </w:pBdr>
              <w:jc w:val="center"/>
              <w:rPr>
                <w:b/>
                <w:color w:val="000000"/>
                <w:sz w:val="24"/>
                <w:szCs w:val="24"/>
              </w:rPr>
            </w:pPr>
            <w:r>
              <w:rPr>
                <w:b/>
                <w:color w:val="000000"/>
                <w:sz w:val="24"/>
                <w:szCs w:val="24"/>
              </w:rPr>
              <w:t>Version No</w:t>
            </w:r>
          </w:p>
        </w:tc>
        <w:tc>
          <w:tcPr>
            <w:tcW w:w="7654" w:type="dxa"/>
            <w:shd w:val="clear" w:color="auto" w:fill="D9D9D9"/>
            <w:vAlign w:val="center"/>
          </w:tcPr>
          <w:p w14:paraId="0000002A" w14:textId="77777777" w:rsidR="00D5218E" w:rsidRDefault="00FA63DC">
            <w:pPr>
              <w:pBdr>
                <w:top w:val="nil"/>
                <w:left w:val="nil"/>
                <w:bottom w:val="nil"/>
                <w:right w:val="nil"/>
                <w:between w:val="nil"/>
              </w:pBdr>
              <w:rPr>
                <w:b/>
                <w:color w:val="000000"/>
                <w:sz w:val="24"/>
                <w:szCs w:val="24"/>
              </w:rPr>
            </w:pPr>
            <w:r>
              <w:rPr>
                <w:b/>
                <w:color w:val="000000"/>
                <w:sz w:val="24"/>
                <w:szCs w:val="24"/>
              </w:rPr>
              <w:t>Summary of changes</w:t>
            </w:r>
          </w:p>
        </w:tc>
        <w:tc>
          <w:tcPr>
            <w:tcW w:w="3180" w:type="dxa"/>
            <w:shd w:val="clear" w:color="auto" w:fill="D9D9D9"/>
            <w:vAlign w:val="center"/>
          </w:tcPr>
          <w:p w14:paraId="0000002B" w14:textId="77777777" w:rsidR="00D5218E" w:rsidRDefault="00FA63DC">
            <w:pPr>
              <w:pBdr>
                <w:top w:val="nil"/>
                <w:left w:val="nil"/>
                <w:bottom w:val="nil"/>
                <w:right w:val="nil"/>
                <w:between w:val="nil"/>
              </w:pBdr>
              <w:rPr>
                <w:b/>
                <w:color w:val="000000"/>
                <w:sz w:val="24"/>
                <w:szCs w:val="24"/>
              </w:rPr>
            </w:pPr>
            <w:r>
              <w:rPr>
                <w:b/>
                <w:color w:val="000000"/>
                <w:sz w:val="24"/>
                <w:szCs w:val="24"/>
              </w:rPr>
              <w:t>Reviewed by (SLT lead)</w:t>
            </w:r>
          </w:p>
        </w:tc>
      </w:tr>
      <w:tr w:rsidR="00D5218E" w14:paraId="4E2C6B4E" w14:textId="77777777">
        <w:trPr>
          <w:trHeight w:val="340"/>
        </w:trPr>
        <w:tc>
          <w:tcPr>
            <w:tcW w:w="1560" w:type="dxa"/>
            <w:shd w:val="clear" w:color="auto" w:fill="auto"/>
            <w:vAlign w:val="center"/>
          </w:tcPr>
          <w:p w14:paraId="0000002C" w14:textId="744E6FD7" w:rsidR="00D5218E" w:rsidRDefault="00FE440D">
            <w:pPr>
              <w:pBdr>
                <w:top w:val="nil"/>
                <w:left w:val="nil"/>
                <w:bottom w:val="nil"/>
                <w:right w:val="nil"/>
                <w:between w:val="nil"/>
              </w:pBdr>
              <w:jc w:val="both"/>
              <w:rPr>
                <w:color w:val="000000"/>
              </w:rPr>
            </w:pPr>
            <w:r>
              <w:rPr>
                <w:color w:val="000000"/>
              </w:rPr>
              <w:t>October 2020</w:t>
            </w:r>
          </w:p>
        </w:tc>
        <w:tc>
          <w:tcPr>
            <w:tcW w:w="1559" w:type="dxa"/>
            <w:vAlign w:val="center"/>
          </w:tcPr>
          <w:p w14:paraId="0000002D" w14:textId="2E1E9567" w:rsidR="00D5218E" w:rsidRDefault="00AD6406">
            <w:pPr>
              <w:pBdr>
                <w:top w:val="nil"/>
                <w:left w:val="nil"/>
                <w:bottom w:val="nil"/>
                <w:right w:val="nil"/>
                <w:between w:val="nil"/>
              </w:pBdr>
              <w:jc w:val="both"/>
              <w:rPr>
                <w:color w:val="000000"/>
              </w:rPr>
            </w:pPr>
            <w:r>
              <w:rPr>
                <w:color w:val="000000"/>
              </w:rPr>
              <w:t>1</w:t>
            </w:r>
          </w:p>
        </w:tc>
        <w:tc>
          <w:tcPr>
            <w:tcW w:w="7654" w:type="dxa"/>
          </w:tcPr>
          <w:p w14:paraId="0000002E" w14:textId="34B70886" w:rsidR="00D5218E" w:rsidRDefault="00D02A64" w:rsidP="007510DA">
            <w:pPr>
              <w:pBdr>
                <w:top w:val="nil"/>
                <w:left w:val="nil"/>
                <w:bottom w:val="nil"/>
                <w:right w:val="nil"/>
                <w:between w:val="nil"/>
              </w:pBdr>
              <w:jc w:val="both"/>
              <w:rPr>
                <w:color w:val="000000"/>
              </w:rPr>
            </w:pPr>
            <w:r>
              <w:t>Policy previously incorporated into College Tuition Fees and Charges Policy 2019/20 but now separate to reflect different regulatory regime, legislation and deadlines</w:t>
            </w:r>
          </w:p>
        </w:tc>
        <w:tc>
          <w:tcPr>
            <w:tcW w:w="3180" w:type="dxa"/>
          </w:tcPr>
          <w:p w14:paraId="0000002F" w14:textId="6B2027E1" w:rsidR="00D5218E" w:rsidRDefault="00FE440D">
            <w:pPr>
              <w:pBdr>
                <w:top w:val="nil"/>
                <w:left w:val="nil"/>
                <w:bottom w:val="nil"/>
                <w:right w:val="nil"/>
                <w:between w:val="nil"/>
              </w:pBdr>
              <w:jc w:val="both"/>
              <w:rPr>
                <w:color w:val="000000"/>
              </w:rPr>
            </w:pPr>
            <w:r>
              <w:rPr>
                <w:color w:val="000000"/>
              </w:rPr>
              <w:t>DCE/DP</w:t>
            </w:r>
          </w:p>
        </w:tc>
      </w:tr>
      <w:tr w:rsidR="00D5218E" w14:paraId="191D6A60" w14:textId="77777777">
        <w:trPr>
          <w:trHeight w:val="340"/>
        </w:trPr>
        <w:tc>
          <w:tcPr>
            <w:tcW w:w="1560" w:type="dxa"/>
            <w:shd w:val="clear" w:color="auto" w:fill="auto"/>
            <w:vAlign w:val="center"/>
          </w:tcPr>
          <w:p w14:paraId="00000030" w14:textId="2A45DC28" w:rsidR="00D5218E" w:rsidRDefault="00FE440D">
            <w:pPr>
              <w:pBdr>
                <w:top w:val="nil"/>
                <w:left w:val="nil"/>
                <w:bottom w:val="nil"/>
                <w:right w:val="nil"/>
                <w:between w:val="nil"/>
              </w:pBdr>
              <w:jc w:val="both"/>
              <w:rPr>
                <w:color w:val="000000"/>
              </w:rPr>
            </w:pPr>
            <w:r>
              <w:rPr>
                <w:color w:val="000000"/>
              </w:rPr>
              <w:t>September 2021</w:t>
            </w:r>
          </w:p>
        </w:tc>
        <w:tc>
          <w:tcPr>
            <w:tcW w:w="1559" w:type="dxa"/>
            <w:vAlign w:val="center"/>
          </w:tcPr>
          <w:p w14:paraId="00000031" w14:textId="665653A0" w:rsidR="00D5218E" w:rsidRDefault="00AD6406">
            <w:pPr>
              <w:pBdr>
                <w:top w:val="nil"/>
                <w:left w:val="nil"/>
                <w:bottom w:val="nil"/>
                <w:right w:val="nil"/>
                <w:between w:val="nil"/>
              </w:pBdr>
              <w:jc w:val="both"/>
              <w:rPr>
                <w:color w:val="000000"/>
              </w:rPr>
            </w:pPr>
            <w:r>
              <w:rPr>
                <w:color w:val="000000"/>
              </w:rPr>
              <w:t>2</w:t>
            </w:r>
          </w:p>
        </w:tc>
        <w:tc>
          <w:tcPr>
            <w:tcW w:w="7654" w:type="dxa"/>
          </w:tcPr>
          <w:p w14:paraId="30C0B2BB" w14:textId="77777777" w:rsidR="007510DA" w:rsidRPr="007510DA" w:rsidRDefault="007510DA" w:rsidP="007510DA">
            <w:pPr>
              <w:pBdr>
                <w:top w:val="nil"/>
                <w:left w:val="nil"/>
                <w:bottom w:val="nil"/>
                <w:right w:val="nil"/>
                <w:between w:val="nil"/>
              </w:pBdr>
              <w:jc w:val="both"/>
              <w:rPr>
                <w:color w:val="000000"/>
              </w:rPr>
            </w:pPr>
            <w:r w:rsidRPr="007510DA">
              <w:rPr>
                <w:color w:val="000000"/>
              </w:rPr>
              <w:t>9.1 Updated to include 2022/23 fees (Page 4-5)</w:t>
            </w:r>
          </w:p>
          <w:p w14:paraId="6B958799" w14:textId="77777777" w:rsidR="007510DA" w:rsidRPr="007510DA" w:rsidRDefault="007510DA" w:rsidP="007510DA">
            <w:pPr>
              <w:pBdr>
                <w:top w:val="nil"/>
                <w:left w:val="nil"/>
                <w:bottom w:val="nil"/>
                <w:right w:val="nil"/>
                <w:between w:val="nil"/>
              </w:pBdr>
              <w:jc w:val="both"/>
              <w:rPr>
                <w:color w:val="000000"/>
              </w:rPr>
            </w:pPr>
            <w:r w:rsidRPr="007510DA">
              <w:rPr>
                <w:color w:val="000000"/>
              </w:rPr>
              <w:t xml:space="preserve">9.3 fee liability for withdrawal amended as per Student </w:t>
            </w:r>
          </w:p>
          <w:p w14:paraId="00000032" w14:textId="627FE65A" w:rsidR="00D5218E" w:rsidRDefault="007510DA" w:rsidP="007510DA">
            <w:pPr>
              <w:pBdr>
                <w:top w:val="nil"/>
                <w:left w:val="nil"/>
                <w:bottom w:val="nil"/>
                <w:right w:val="nil"/>
                <w:between w:val="nil"/>
              </w:pBdr>
              <w:jc w:val="both"/>
              <w:rPr>
                <w:color w:val="000000"/>
              </w:rPr>
            </w:pPr>
            <w:r w:rsidRPr="007510DA">
              <w:rPr>
                <w:color w:val="000000"/>
              </w:rPr>
              <w:t>Finance England methodology (Page 6)</w:t>
            </w:r>
          </w:p>
        </w:tc>
        <w:tc>
          <w:tcPr>
            <w:tcW w:w="3180" w:type="dxa"/>
          </w:tcPr>
          <w:p w14:paraId="7D588A8A" w14:textId="77777777" w:rsidR="00D5218E" w:rsidRDefault="00BA5C61">
            <w:pPr>
              <w:pBdr>
                <w:top w:val="nil"/>
                <w:left w:val="nil"/>
                <w:bottom w:val="nil"/>
                <w:right w:val="nil"/>
                <w:between w:val="nil"/>
              </w:pBdr>
              <w:jc w:val="both"/>
              <w:rPr>
                <w:color w:val="000000"/>
              </w:rPr>
            </w:pPr>
            <w:r>
              <w:rPr>
                <w:color w:val="000000"/>
              </w:rPr>
              <w:t>VPHTS</w:t>
            </w:r>
          </w:p>
          <w:p w14:paraId="00000033" w14:textId="208A0862" w:rsidR="00BA5C61" w:rsidRDefault="00BA5C61">
            <w:pPr>
              <w:pBdr>
                <w:top w:val="nil"/>
                <w:left w:val="nil"/>
                <w:bottom w:val="nil"/>
                <w:right w:val="nil"/>
                <w:between w:val="nil"/>
              </w:pBdr>
              <w:jc w:val="both"/>
              <w:rPr>
                <w:color w:val="000000"/>
              </w:rPr>
            </w:pPr>
            <w:r>
              <w:rPr>
                <w:color w:val="000000"/>
              </w:rPr>
              <w:t>DCE/DP</w:t>
            </w:r>
          </w:p>
        </w:tc>
      </w:tr>
      <w:tr w:rsidR="00D5218E" w14:paraId="1886B2F4" w14:textId="77777777">
        <w:trPr>
          <w:trHeight w:val="340"/>
        </w:trPr>
        <w:tc>
          <w:tcPr>
            <w:tcW w:w="1560" w:type="dxa"/>
            <w:shd w:val="clear" w:color="auto" w:fill="auto"/>
            <w:vAlign w:val="center"/>
          </w:tcPr>
          <w:p w14:paraId="00000034" w14:textId="4D2D1EE7" w:rsidR="00D5218E" w:rsidRDefault="00FE440D">
            <w:pPr>
              <w:pBdr>
                <w:top w:val="nil"/>
                <w:left w:val="nil"/>
                <w:bottom w:val="nil"/>
                <w:right w:val="nil"/>
                <w:between w:val="nil"/>
              </w:pBdr>
              <w:jc w:val="both"/>
              <w:rPr>
                <w:color w:val="000000"/>
              </w:rPr>
            </w:pPr>
            <w:r>
              <w:rPr>
                <w:color w:val="000000"/>
              </w:rPr>
              <w:t>September 2022</w:t>
            </w:r>
          </w:p>
        </w:tc>
        <w:tc>
          <w:tcPr>
            <w:tcW w:w="1559" w:type="dxa"/>
            <w:vAlign w:val="center"/>
          </w:tcPr>
          <w:p w14:paraId="00000035" w14:textId="18D31EB5" w:rsidR="00D5218E" w:rsidRDefault="00AD6406">
            <w:pPr>
              <w:pBdr>
                <w:top w:val="nil"/>
                <w:left w:val="nil"/>
                <w:bottom w:val="nil"/>
                <w:right w:val="nil"/>
                <w:between w:val="nil"/>
              </w:pBdr>
              <w:jc w:val="both"/>
              <w:rPr>
                <w:color w:val="000000"/>
              </w:rPr>
            </w:pPr>
            <w:r>
              <w:rPr>
                <w:color w:val="000000"/>
              </w:rPr>
              <w:t>3</w:t>
            </w:r>
          </w:p>
        </w:tc>
        <w:tc>
          <w:tcPr>
            <w:tcW w:w="7654" w:type="dxa"/>
          </w:tcPr>
          <w:p w14:paraId="39A34C3B" w14:textId="77777777" w:rsidR="008F6D98" w:rsidRDefault="008F6D98">
            <w:pPr>
              <w:pBdr>
                <w:top w:val="nil"/>
                <w:left w:val="nil"/>
                <w:bottom w:val="nil"/>
                <w:right w:val="nil"/>
                <w:between w:val="nil"/>
              </w:pBdr>
              <w:jc w:val="both"/>
            </w:pPr>
            <w:r>
              <w:t>5. Responsibilities updated to include fee setting and appeal process</w:t>
            </w:r>
          </w:p>
          <w:p w14:paraId="2E6909EA" w14:textId="774F3E1E" w:rsidR="008F6D98" w:rsidRDefault="008F6D98">
            <w:pPr>
              <w:pBdr>
                <w:top w:val="nil"/>
                <w:left w:val="nil"/>
                <w:bottom w:val="nil"/>
                <w:right w:val="nil"/>
                <w:between w:val="nil"/>
              </w:pBdr>
              <w:jc w:val="both"/>
            </w:pPr>
            <w:r>
              <w:t>8. Links to guidance updated</w:t>
            </w:r>
          </w:p>
          <w:p w14:paraId="48830B21" w14:textId="664EC7AE" w:rsidR="008F6D98" w:rsidRDefault="008F6D98">
            <w:pPr>
              <w:pBdr>
                <w:top w:val="nil"/>
                <w:left w:val="nil"/>
                <w:bottom w:val="nil"/>
                <w:right w:val="nil"/>
                <w:between w:val="nil"/>
              </w:pBdr>
              <w:jc w:val="both"/>
            </w:pPr>
            <w:r>
              <w:t xml:space="preserve">9.1 Updated to include 2023-24 fees </w:t>
            </w:r>
          </w:p>
          <w:p w14:paraId="7663A94C" w14:textId="77777777" w:rsidR="008F6D98" w:rsidRDefault="008F6D98">
            <w:pPr>
              <w:pBdr>
                <w:top w:val="nil"/>
                <w:left w:val="nil"/>
                <w:bottom w:val="nil"/>
                <w:right w:val="nil"/>
                <w:between w:val="nil"/>
              </w:pBdr>
              <w:jc w:val="both"/>
            </w:pPr>
            <w:r>
              <w:t xml:space="preserve">9.7 Additional information added for clarity on fee charges </w:t>
            </w:r>
          </w:p>
          <w:p w14:paraId="00000036" w14:textId="360EF1EC" w:rsidR="00D5218E" w:rsidRDefault="008F6D98">
            <w:pPr>
              <w:pBdr>
                <w:top w:val="nil"/>
                <w:left w:val="nil"/>
                <w:bottom w:val="nil"/>
                <w:right w:val="nil"/>
                <w:between w:val="nil"/>
              </w:pBdr>
              <w:jc w:val="both"/>
              <w:rPr>
                <w:color w:val="000000"/>
              </w:rPr>
            </w:pPr>
            <w:r>
              <w:t>9.8 Title amendment and inclusion of appeal process</w:t>
            </w:r>
          </w:p>
        </w:tc>
        <w:tc>
          <w:tcPr>
            <w:tcW w:w="3180" w:type="dxa"/>
          </w:tcPr>
          <w:p w14:paraId="00000037" w14:textId="2FA8DDBE" w:rsidR="00D5218E" w:rsidRDefault="00BA5C61">
            <w:pPr>
              <w:pBdr>
                <w:top w:val="nil"/>
                <w:left w:val="nil"/>
                <w:bottom w:val="nil"/>
                <w:right w:val="nil"/>
                <w:between w:val="nil"/>
              </w:pBdr>
              <w:jc w:val="both"/>
              <w:rPr>
                <w:color w:val="000000"/>
              </w:rPr>
            </w:pPr>
            <w:r>
              <w:rPr>
                <w:color w:val="000000"/>
              </w:rPr>
              <w:t>VPHE</w:t>
            </w:r>
          </w:p>
        </w:tc>
      </w:tr>
      <w:tr w:rsidR="00D5218E" w14:paraId="028BF876" w14:textId="77777777">
        <w:trPr>
          <w:trHeight w:val="340"/>
        </w:trPr>
        <w:tc>
          <w:tcPr>
            <w:tcW w:w="1560" w:type="dxa"/>
            <w:shd w:val="clear" w:color="auto" w:fill="auto"/>
            <w:vAlign w:val="center"/>
          </w:tcPr>
          <w:p w14:paraId="00000038" w14:textId="53A98CD9" w:rsidR="00D5218E" w:rsidRDefault="00FE440D">
            <w:pPr>
              <w:pBdr>
                <w:top w:val="nil"/>
                <w:left w:val="nil"/>
                <w:bottom w:val="nil"/>
                <w:right w:val="nil"/>
                <w:between w:val="nil"/>
              </w:pBdr>
              <w:jc w:val="both"/>
              <w:rPr>
                <w:color w:val="000000"/>
              </w:rPr>
            </w:pPr>
            <w:r>
              <w:rPr>
                <w:color w:val="000000"/>
              </w:rPr>
              <w:t>September 2023</w:t>
            </w:r>
          </w:p>
        </w:tc>
        <w:tc>
          <w:tcPr>
            <w:tcW w:w="1559" w:type="dxa"/>
            <w:vAlign w:val="center"/>
          </w:tcPr>
          <w:p w14:paraId="00000039" w14:textId="764DC9B6" w:rsidR="00D5218E" w:rsidRDefault="00AD6406">
            <w:pPr>
              <w:pBdr>
                <w:top w:val="nil"/>
                <w:left w:val="nil"/>
                <w:bottom w:val="nil"/>
                <w:right w:val="nil"/>
                <w:between w:val="nil"/>
              </w:pBdr>
              <w:jc w:val="both"/>
              <w:rPr>
                <w:color w:val="000000"/>
              </w:rPr>
            </w:pPr>
            <w:r>
              <w:rPr>
                <w:color w:val="000000"/>
              </w:rPr>
              <w:t>4</w:t>
            </w:r>
          </w:p>
        </w:tc>
        <w:tc>
          <w:tcPr>
            <w:tcW w:w="7654" w:type="dxa"/>
          </w:tcPr>
          <w:p w14:paraId="08852291" w14:textId="77777777" w:rsidR="00FE440D" w:rsidRDefault="00FE440D">
            <w:pPr>
              <w:pBdr>
                <w:top w:val="nil"/>
                <w:left w:val="nil"/>
                <w:bottom w:val="nil"/>
                <w:right w:val="nil"/>
                <w:between w:val="nil"/>
              </w:pBdr>
              <w:jc w:val="both"/>
            </w:pPr>
            <w:r>
              <w:t xml:space="preserve">5. Responsibilities updated to include change of role titles for fee setting and appeal process </w:t>
            </w:r>
          </w:p>
          <w:p w14:paraId="0000003A" w14:textId="6432B636" w:rsidR="00D5218E" w:rsidRDefault="00FE440D">
            <w:pPr>
              <w:pBdr>
                <w:top w:val="nil"/>
                <w:left w:val="nil"/>
                <w:bottom w:val="nil"/>
                <w:right w:val="nil"/>
                <w:between w:val="nil"/>
              </w:pBdr>
              <w:jc w:val="both"/>
              <w:rPr>
                <w:color w:val="000000"/>
              </w:rPr>
            </w:pPr>
            <w:r>
              <w:t>9.1 Updated to include 2024-25 fees</w:t>
            </w:r>
          </w:p>
        </w:tc>
        <w:tc>
          <w:tcPr>
            <w:tcW w:w="3180" w:type="dxa"/>
          </w:tcPr>
          <w:p w14:paraId="0000003B" w14:textId="23E93748" w:rsidR="00D5218E" w:rsidRDefault="00BA5C61">
            <w:pPr>
              <w:pBdr>
                <w:top w:val="nil"/>
                <w:left w:val="nil"/>
                <w:bottom w:val="nil"/>
                <w:right w:val="nil"/>
                <w:between w:val="nil"/>
              </w:pBdr>
              <w:jc w:val="both"/>
              <w:rPr>
                <w:color w:val="000000"/>
              </w:rPr>
            </w:pPr>
            <w:r>
              <w:rPr>
                <w:color w:val="000000"/>
              </w:rPr>
              <w:t>EDSSI</w:t>
            </w:r>
          </w:p>
        </w:tc>
      </w:tr>
      <w:tr w:rsidR="002127C6" w14:paraId="0E04BF85" w14:textId="77777777">
        <w:trPr>
          <w:trHeight w:val="340"/>
        </w:trPr>
        <w:tc>
          <w:tcPr>
            <w:tcW w:w="1560" w:type="dxa"/>
            <w:shd w:val="clear" w:color="auto" w:fill="auto"/>
            <w:vAlign w:val="center"/>
          </w:tcPr>
          <w:p w14:paraId="4CE6CF5B" w14:textId="0CB7CE2C" w:rsidR="002127C6" w:rsidRDefault="002127C6" w:rsidP="002127C6">
            <w:pPr>
              <w:pBdr>
                <w:top w:val="nil"/>
                <w:left w:val="nil"/>
                <w:bottom w:val="nil"/>
                <w:right w:val="nil"/>
                <w:between w:val="nil"/>
              </w:pBdr>
              <w:jc w:val="both"/>
              <w:rPr>
                <w:color w:val="000000"/>
              </w:rPr>
            </w:pPr>
            <w:r>
              <w:rPr>
                <w:color w:val="000000"/>
              </w:rPr>
              <w:t>August 2024</w:t>
            </w:r>
          </w:p>
        </w:tc>
        <w:tc>
          <w:tcPr>
            <w:tcW w:w="1559" w:type="dxa"/>
            <w:vAlign w:val="center"/>
          </w:tcPr>
          <w:p w14:paraId="4DADA5B5" w14:textId="2F7B7F9C" w:rsidR="002127C6" w:rsidRDefault="002127C6" w:rsidP="002127C6">
            <w:pPr>
              <w:pBdr>
                <w:top w:val="nil"/>
                <w:left w:val="nil"/>
                <w:bottom w:val="nil"/>
                <w:right w:val="nil"/>
                <w:between w:val="nil"/>
              </w:pBdr>
              <w:jc w:val="both"/>
              <w:rPr>
                <w:color w:val="000000"/>
              </w:rPr>
            </w:pPr>
            <w:r>
              <w:rPr>
                <w:color w:val="000000"/>
              </w:rPr>
              <w:t>5</w:t>
            </w:r>
          </w:p>
        </w:tc>
        <w:tc>
          <w:tcPr>
            <w:tcW w:w="7654" w:type="dxa"/>
          </w:tcPr>
          <w:p w14:paraId="19BAEDD1" w14:textId="11876FB2" w:rsidR="002127C6" w:rsidRDefault="002127C6" w:rsidP="002127C6">
            <w:pPr>
              <w:pBdr>
                <w:top w:val="nil"/>
                <w:left w:val="nil"/>
                <w:bottom w:val="nil"/>
                <w:right w:val="nil"/>
                <w:between w:val="nil"/>
              </w:pBdr>
              <w:jc w:val="both"/>
            </w:pPr>
            <w:r>
              <w:t>9.1 Updated to include 2025-26 fees</w:t>
            </w:r>
          </w:p>
        </w:tc>
        <w:tc>
          <w:tcPr>
            <w:tcW w:w="3180" w:type="dxa"/>
          </w:tcPr>
          <w:p w14:paraId="33423555" w14:textId="10AB098E" w:rsidR="002127C6" w:rsidRDefault="002127C6" w:rsidP="002127C6">
            <w:pPr>
              <w:pBdr>
                <w:top w:val="nil"/>
                <w:left w:val="nil"/>
                <w:bottom w:val="nil"/>
                <w:right w:val="nil"/>
                <w:between w:val="nil"/>
              </w:pBdr>
              <w:jc w:val="both"/>
              <w:rPr>
                <w:color w:val="000000"/>
              </w:rPr>
            </w:pPr>
            <w:r>
              <w:rPr>
                <w:color w:val="000000"/>
              </w:rPr>
              <w:t>EDSSI</w:t>
            </w:r>
          </w:p>
        </w:tc>
      </w:tr>
    </w:tbl>
    <w:p w14:paraId="2609B177" w14:textId="77777777" w:rsidR="000F2769" w:rsidRDefault="000F2769">
      <w:pPr>
        <w:rPr>
          <w:b/>
          <w:sz w:val="28"/>
          <w:szCs w:val="28"/>
        </w:rPr>
      </w:pPr>
      <w:r>
        <w:rPr>
          <w:b/>
          <w:sz w:val="28"/>
          <w:szCs w:val="28"/>
        </w:rPr>
        <w:br w:type="page"/>
      </w:r>
    </w:p>
    <w:p w14:paraId="55CB2B75" w14:textId="77777777" w:rsidR="00C533B8" w:rsidRDefault="00C533B8">
      <w:pPr>
        <w:spacing w:after="0" w:line="240" w:lineRule="auto"/>
        <w:rPr>
          <w:b/>
          <w:sz w:val="28"/>
          <w:szCs w:val="28"/>
        </w:rPr>
        <w:sectPr w:rsidR="00C533B8" w:rsidSect="00DB4588">
          <w:pgSz w:w="16838" w:h="11906" w:orient="landscape"/>
          <w:pgMar w:top="1440" w:right="1440" w:bottom="1440" w:left="1440" w:header="709" w:footer="709" w:gutter="0"/>
          <w:cols w:space="720"/>
          <w:titlePg/>
        </w:sectPr>
      </w:pPr>
    </w:p>
    <w:p w14:paraId="00000041" w14:textId="55AC8084" w:rsidR="00D5218E" w:rsidRDefault="00FA63DC">
      <w:pPr>
        <w:spacing w:after="0" w:line="240" w:lineRule="auto"/>
        <w:rPr>
          <w:b/>
          <w:sz w:val="28"/>
          <w:szCs w:val="28"/>
        </w:rPr>
      </w:pPr>
      <w:r>
        <w:rPr>
          <w:b/>
          <w:sz w:val="28"/>
          <w:szCs w:val="28"/>
        </w:rPr>
        <w:lastRenderedPageBreak/>
        <w:t>Contents</w:t>
      </w:r>
    </w:p>
    <w:p w14:paraId="00000042" w14:textId="77777777" w:rsidR="00D5218E" w:rsidRDefault="00D5218E" w:rsidP="003F312D">
      <w:pPr>
        <w:spacing w:after="0" w:line="240" w:lineRule="auto"/>
        <w:jc w:val="center"/>
        <w:rPr>
          <w:b/>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6804"/>
        <w:gridCol w:w="1418"/>
      </w:tblGrid>
      <w:tr w:rsidR="00D5218E" w14:paraId="54D5BD57" w14:textId="77777777">
        <w:trPr>
          <w:trHeight w:val="340"/>
        </w:trPr>
        <w:tc>
          <w:tcPr>
            <w:tcW w:w="1134" w:type="dxa"/>
            <w:shd w:val="clear" w:color="auto" w:fill="D9D9D9"/>
            <w:vAlign w:val="center"/>
          </w:tcPr>
          <w:p w14:paraId="00000043" w14:textId="77777777" w:rsidR="00D5218E" w:rsidRDefault="00FA63DC" w:rsidP="003F312D">
            <w:pPr>
              <w:pBdr>
                <w:top w:val="nil"/>
                <w:left w:val="nil"/>
                <w:bottom w:val="nil"/>
                <w:right w:val="nil"/>
                <w:between w:val="nil"/>
              </w:pBdr>
              <w:jc w:val="center"/>
              <w:rPr>
                <w:b/>
                <w:color w:val="000000"/>
                <w:sz w:val="24"/>
                <w:szCs w:val="24"/>
              </w:rPr>
            </w:pPr>
            <w:r>
              <w:rPr>
                <w:b/>
                <w:color w:val="000000"/>
                <w:sz w:val="24"/>
                <w:szCs w:val="24"/>
              </w:rPr>
              <w:t>Section</w:t>
            </w:r>
          </w:p>
        </w:tc>
        <w:tc>
          <w:tcPr>
            <w:tcW w:w="6804" w:type="dxa"/>
            <w:shd w:val="clear" w:color="auto" w:fill="D9D9D9"/>
            <w:vAlign w:val="center"/>
          </w:tcPr>
          <w:p w14:paraId="00000044" w14:textId="77777777" w:rsidR="00D5218E" w:rsidRDefault="00FA63DC" w:rsidP="003F312D">
            <w:pPr>
              <w:pBdr>
                <w:top w:val="nil"/>
                <w:left w:val="nil"/>
                <w:bottom w:val="nil"/>
                <w:right w:val="nil"/>
                <w:between w:val="nil"/>
              </w:pBdr>
              <w:rPr>
                <w:b/>
                <w:color w:val="000000"/>
                <w:sz w:val="24"/>
                <w:szCs w:val="24"/>
              </w:rPr>
            </w:pPr>
            <w:r>
              <w:rPr>
                <w:b/>
                <w:color w:val="000000"/>
                <w:sz w:val="24"/>
                <w:szCs w:val="24"/>
              </w:rPr>
              <w:t>Contents</w:t>
            </w:r>
          </w:p>
        </w:tc>
        <w:tc>
          <w:tcPr>
            <w:tcW w:w="1418" w:type="dxa"/>
            <w:shd w:val="clear" w:color="auto" w:fill="D9D9D9"/>
            <w:vAlign w:val="center"/>
          </w:tcPr>
          <w:p w14:paraId="00000045" w14:textId="77777777" w:rsidR="00D5218E" w:rsidRDefault="00FA63DC" w:rsidP="003F312D">
            <w:pPr>
              <w:pBdr>
                <w:top w:val="nil"/>
                <w:left w:val="nil"/>
                <w:bottom w:val="nil"/>
                <w:right w:val="nil"/>
                <w:between w:val="nil"/>
              </w:pBdr>
              <w:jc w:val="center"/>
              <w:rPr>
                <w:b/>
                <w:color w:val="000000"/>
                <w:sz w:val="24"/>
                <w:szCs w:val="24"/>
              </w:rPr>
            </w:pPr>
            <w:r>
              <w:rPr>
                <w:b/>
                <w:color w:val="000000"/>
                <w:sz w:val="24"/>
                <w:szCs w:val="24"/>
              </w:rPr>
              <w:t>Page</w:t>
            </w:r>
          </w:p>
        </w:tc>
      </w:tr>
      <w:tr w:rsidR="00D5218E" w14:paraId="26CDA52C" w14:textId="77777777">
        <w:tc>
          <w:tcPr>
            <w:tcW w:w="1134" w:type="dxa"/>
          </w:tcPr>
          <w:p w14:paraId="00000046" w14:textId="77777777" w:rsidR="00D5218E" w:rsidRDefault="00FA63DC" w:rsidP="003F312D">
            <w:pPr>
              <w:pBdr>
                <w:top w:val="nil"/>
                <w:left w:val="nil"/>
                <w:bottom w:val="nil"/>
                <w:right w:val="nil"/>
                <w:between w:val="nil"/>
              </w:pBdr>
              <w:jc w:val="center"/>
              <w:rPr>
                <w:color w:val="000000"/>
              </w:rPr>
            </w:pPr>
            <w:r>
              <w:rPr>
                <w:color w:val="000000"/>
              </w:rPr>
              <w:t>1</w:t>
            </w:r>
          </w:p>
        </w:tc>
        <w:tc>
          <w:tcPr>
            <w:tcW w:w="6804" w:type="dxa"/>
          </w:tcPr>
          <w:p w14:paraId="00000047" w14:textId="1EDC00F2" w:rsidR="00D5218E" w:rsidRDefault="00BE179C" w:rsidP="003F312D">
            <w:pPr>
              <w:pBdr>
                <w:top w:val="nil"/>
                <w:left w:val="nil"/>
                <w:bottom w:val="nil"/>
                <w:right w:val="nil"/>
                <w:between w:val="nil"/>
              </w:pBdr>
              <w:jc w:val="both"/>
              <w:rPr>
                <w:color w:val="000000"/>
              </w:rPr>
            </w:pPr>
            <w:r>
              <w:rPr>
                <w:color w:val="000000"/>
              </w:rPr>
              <w:t xml:space="preserve">Policy Statement </w:t>
            </w:r>
          </w:p>
        </w:tc>
        <w:tc>
          <w:tcPr>
            <w:tcW w:w="1418" w:type="dxa"/>
          </w:tcPr>
          <w:p w14:paraId="00000048" w14:textId="5ABEF14D" w:rsidR="00D5218E" w:rsidRDefault="002127C6" w:rsidP="003F312D">
            <w:pPr>
              <w:pBdr>
                <w:top w:val="nil"/>
                <w:left w:val="nil"/>
                <w:bottom w:val="nil"/>
                <w:right w:val="nil"/>
                <w:between w:val="nil"/>
              </w:pBdr>
              <w:jc w:val="center"/>
              <w:rPr>
                <w:color w:val="000000"/>
              </w:rPr>
            </w:pPr>
            <w:r>
              <w:rPr>
                <w:color w:val="000000"/>
              </w:rPr>
              <w:t>3</w:t>
            </w:r>
          </w:p>
        </w:tc>
      </w:tr>
      <w:tr w:rsidR="00D5218E" w14:paraId="3A465869" w14:textId="77777777">
        <w:tc>
          <w:tcPr>
            <w:tcW w:w="1134" w:type="dxa"/>
          </w:tcPr>
          <w:p w14:paraId="00000049" w14:textId="77777777" w:rsidR="00D5218E" w:rsidRDefault="00FA63DC" w:rsidP="003F312D">
            <w:pPr>
              <w:pBdr>
                <w:top w:val="nil"/>
                <w:left w:val="nil"/>
                <w:bottom w:val="nil"/>
                <w:right w:val="nil"/>
                <w:between w:val="nil"/>
              </w:pBdr>
              <w:jc w:val="center"/>
              <w:rPr>
                <w:color w:val="000000"/>
              </w:rPr>
            </w:pPr>
            <w:r>
              <w:rPr>
                <w:color w:val="000000"/>
              </w:rPr>
              <w:t>2</w:t>
            </w:r>
          </w:p>
        </w:tc>
        <w:tc>
          <w:tcPr>
            <w:tcW w:w="6804" w:type="dxa"/>
          </w:tcPr>
          <w:p w14:paraId="0000004A" w14:textId="643207E9" w:rsidR="00D5218E" w:rsidRDefault="00BE179C" w:rsidP="003F312D">
            <w:pPr>
              <w:pBdr>
                <w:top w:val="nil"/>
                <w:left w:val="nil"/>
                <w:bottom w:val="nil"/>
                <w:right w:val="nil"/>
                <w:between w:val="nil"/>
              </w:pBdr>
              <w:jc w:val="both"/>
              <w:rPr>
                <w:color w:val="000000"/>
              </w:rPr>
            </w:pPr>
            <w:r>
              <w:rPr>
                <w:color w:val="000000"/>
              </w:rPr>
              <w:t>Definitions</w:t>
            </w:r>
          </w:p>
        </w:tc>
        <w:tc>
          <w:tcPr>
            <w:tcW w:w="1418" w:type="dxa"/>
          </w:tcPr>
          <w:p w14:paraId="0000004B" w14:textId="17E5B4FF" w:rsidR="00D5218E" w:rsidRDefault="002127C6" w:rsidP="003F312D">
            <w:pPr>
              <w:pBdr>
                <w:top w:val="nil"/>
                <w:left w:val="nil"/>
                <w:bottom w:val="nil"/>
                <w:right w:val="nil"/>
                <w:between w:val="nil"/>
              </w:pBdr>
              <w:jc w:val="center"/>
              <w:rPr>
                <w:color w:val="000000"/>
              </w:rPr>
            </w:pPr>
            <w:r>
              <w:rPr>
                <w:color w:val="000000"/>
              </w:rPr>
              <w:t>3</w:t>
            </w:r>
          </w:p>
        </w:tc>
      </w:tr>
      <w:tr w:rsidR="00D5218E" w14:paraId="083F6CBE" w14:textId="77777777">
        <w:tc>
          <w:tcPr>
            <w:tcW w:w="1134" w:type="dxa"/>
          </w:tcPr>
          <w:p w14:paraId="0000004F" w14:textId="33D91F53" w:rsidR="00D5218E" w:rsidRDefault="00101278" w:rsidP="003F312D">
            <w:pPr>
              <w:pBdr>
                <w:top w:val="nil"/>
                <w:left w:val="nil"/>
                <w:bottom w:val="nil"/>
                <w:right w:val="nil"/>
                <w:between w:val="nil"/>
              </w:pBdr>
              <w:jc w:val="center"/>
              <w:rPr>
                <w:color w:val="000000"/>
              </w:rPr>
            </w:pPr>
            <w:r>
              <w:rPr>
                <w:color w:val="000000"/>
              </w:rPr>
              <w:t>3</w:t>
            </w:r>
          </w:p>
        </w:tc>
        <w:tc>
          <w:tcPr>
            <w:tcW w:w="6804" w:type="dxa"/>
          </w:tcPr>
          <w:p w14:paraId="00000050" w14:textId="4124EB23" w:rsidR="00D5218E" w:rsidRDefault="00BE179C" w:rsidP="003F312D">
            <w:pPr>
              <w:pBdr>
                <w:top w:val="nil"/>
                <w:left w:val="nil"/>
                <w:bottom w:val="nil"/>
                <w:right w:val="nil"/>
                <w:between w:val="nil"/>
              </w:pBdr>
              <w:jc w:val="both"/>
              <w:rPr>
                <w:color w:val="000000"/>
              </w:rPr>
            </w:pPr>
            <w:r>
              <w:rPr>
                <w:color w:val="000000"/>
              </w:rPr>
              <w:t xml:space="preserve">Principles </w:t>
            </w:r>
          </w:p>
        </w:tc>
        <w:tc>
          <w:tcPr>
            <w:tcW w:w="1418" w:type="dxa"/>
          </w:tcPr>
          <w:p w14:paraId="00000051" w14:textId="3308A37F" w:rsidR="00D5218E" w:rsidRDefault="002127C6" w:rsidP="003F312D">
            <w:pPr>
              <w:pBdr>
                <w:top w:val="nil"/>
                <w:left w:val="nil"/>
                <w:bottom w:val="nil"/>
                <w:right w:val="nil"/>
                <w:between w:val="nil"/>
              </w:pBdr>
              <w:jc w:val="center"/>
              <w:rPr>
                <w:color w:val="000000"/>
              </w:rPr>
            </w:pPr>
            <w:r>
              <w:rPr>
                <w:color w:val="000000"/>
              </w:rPr>
              <w:t>3</w:t>
            </w:r>
          </w:p>
        </w:tc>
      </w:tr>
      <w:tr w:rsidR="00D5218E" w14:paraId="043B758A" w14:textId="77777777">
        <w:tc>
          <w:tcPr>
            <w:tcW w:w="1134" w:type="dxa"/>
          </w:tcPr>
          <w:p w14:paraId="00000052" w14:textId="55F984EE" w:rsidR="00D5218E" w:rsidRDefault="00101278" w:rsidP="003F312D">
            <w:pPr>
              <w:pBdr>
                <w:top w:val="nil"/>
                <w:left w:val="nil"/>
                <w:bottom w:val="nil"/>
                <w:right w:val="nil"/>
                <w:between w:val="nil"/>
              </w:pBdr>
              <w:jc w:val="center"/>
              <w:rPr>
                <w:color w:val="000000"/>
              </w:rPr>
            </w:pPr>
            <w:r>
              <w:rPr>
                <w:color w:val="000000"/>
              </w:rPr>
              <w:t>4</w:t>
            </w:r>
          </w:p>
        </w:tc>
        <w:tc>
          <w:tcPr>
            <w:tcW w:w="6804" w:type="dxa"/>
          </w:tcPr>
          <w:p w14:paraId="00000053" w14:textId="0CC91075" w:rsidR="00D5218E" w:rsidRDefault="00BE179C" w:rsidP="003F312D">
            <w:pPr>
              <w:pBdr>
                <w:top w:val="nil"/>
                <w:left w:val="nil"/>
                <w:bottom w:val="nil"/>
                <w:right w:val="nil"/>
                <w:between w:val="nil"/>
              </w:pBdr>
              <w:jc w:val="both"/>
              <w:rPr>
                <w:color w:val="000000"/>
              </w:rPr>
            </w:pPr>
            <w:r>
              <w:rPr>
                <w:color w:val="000000"/>
              </w:rPr>
              <w:t xml:space="preserve">Scope and Limitations </w:t>
            </w:r>
          </w:p>
        </w:tc>
        <w:tc>
          <w:tcPr>
            <w:tcW w:w="1418" w:type="dxa"/>
          </w:tcPr>
          <w:p w14:paraId="00000054" w14:textId="18D62CAD" w:rsidR="00D5218E" w:rsidRDefault="00D8349D" w:rsidP="003F312D">
            <w:pPr>
              <w:pBdr>
                <w:top w:val="nil"/>
                <w:left w:val="nil"/>
                <w:bottom w:val="nil"/>
                <w:right w:val="nil"/>
                <w:between w:val="nil"/>
              </w:pBdr>
              <w:jc w:val="center"/>
              <w:rPr>
                <w:color w:val="000000"/>
              </w:rPr>
            </w:pPr>
            <w:r>
              <w:rPr>
                <w:color w:val="000000"/>
              </w:rPr>
              <w:t>4</w:t>
            </w:r>
          </w:p>
        </w:tc>
      </w:tr>
      <w:tr w:rsidR="00BE179C" w14:paraId="74144AB6" w14:textId="77777777">
        <w:tc>
          <w:tcPr>
            <w:tcW w:w="1134" w:type="dxa"/>
          </w:tcPr>
          <w:p w14:paraId="476D9BA6" w14:textId="498318A9" w:rsidR="00BE179C" w:rsidRDefault="00BE179C" w:rsidP="003F312D">
            <w:pPr>
              <w:pBdr>
                <w:top w:val="nil"/>
                <w:left w:val="nil"/>
                <w:bottom w:val="nil"/>
                <w:right w:val="nil"/>
                <w:between w:val="nil"/>
              </w:pBdr>
              <w:jc w:val="center"/>
              <w:rPr>
                <w:color w:val="000000"/>
              </w:rPr>
            </w:pPr>
            <w:r>
              <w:rPr>
                <w:color w:val="000000"/>
              </w:rPr>
              <w:t>5</w:t>
            </w:r>
          </w:p>
        </w:tc>
        <w:tc>
          <w:tcPr>
            <w:tcW w:w="6804" w:type="dxa"/>
          </w:tcPr>
          <w:p w14:paraId="52F917AE" w14:textId="60030215" w:rsidR="00BE179C" w:rsidRDefault="008F53E5" w:rsidP="003F312D">
            <w:pPr>
              <w:pBdr>
                <w:top w:val="nil"/>
                <w:left w:val="nil"/>
                <w:bottom w:val="nil"/>
                <w:right w:val="nil"/>
                <w:between w:val="nil"/>
              </w:pBdr>
              <w:jc w:val="both"/>
              <w:rPr>
                <w:color w:val="000000"/>
              </w:rPr>
            </w:pPr>
            <w:r>
              <w:rPr>
                <w:color w:val="000000"/>
              </w:rPr>
              <w:t xml:space="preserve">Responsibilities </w:t>
            </w:r>
            <w:r w:rsidR="00BE179C">
              <w:rPr>
                <w:color w:val="000000"/>
              </w:rPr>
              <w:t xml:space="preserve"> </w:t>
            </w:r>
          </w:p>
        </w:tc>
        <w:tc>
          <w:tcPr>
            <w:tcW w:w="1418" w:type="dxa"/>
          </w:tcPr>
          <w:p w14:paraId="390E4906" w14:textId="6B7C9ABF" w:rsidR="00BE179C" w:rsidRDefault="00D8349D" w:rsidP="003F312D">
            <w:pPr>
              <w:pBdr>
                <w:top w:val="nil"/>
                <w:left w:val="nil"/>
                <w:bottom w:val="nil"/>
                <w:right w:val="nil"/>
                <w:between w:val="nil"/>
              </w:pBdr>
              <w:jc w:val="center"/>
              <w:rPr>
                <w:color w:val="000000"/>
              </w:rPr>
            </w:pPr>
            <w:r>
              <w:rPr>
                <w:color w:val="000000"/>
              </w:rPr>
              <w:t>4</w:t>
            </w:r>
          </w:p>
        </w:tc>
      </w:tr>
      <w:tr w:rsidR="00BE179C" w14:paraId="3DF4C7A7" w14:textId="77777777">
        <w:tc>
          <w:tcPr>
            <w:tcW w:w="1134" w:type="dxa"/>
          </w:tcPr>
          <w:p w14:paraId="4E02E9AE" w14:textId="729C29B5" w:rsidR="00BE179C" w:rsidRDefault="00BE179C" w:rsidP="003F312D">
            <w:pPr>
              <w:pBdr>
                <w:top w:val="nil"/>
                <w:left w:val="nil"/>
                <w:bottom w:val="nil"/>
                <w:right w:val="nil"/>
                <w:between w:val="nil"/>
              </w:pBdr>
              <w:jc w:val="center"/>
              <w:rPr>
                <w:color w:val="000000"/>
              </w:rPr>
            </w:pPr>
            <w:r>
              <w:rPr>
                <w:color w:val="000000"/>
              </w:rPr>
              <w:t>6</w:t>
            </w:r>
          </w:p>
        </w:tc>
        <w:tc>
          <w:tcPr>
            <w:tcW w:w="6804" w:type="dxa"/>
          </w:tcPr>
          <w:p w14:paraId="60CB84A3" w14:textId="6606784A" w:rsidR="00BE179C" w:rsidRDefault="00BE179C" w:rsidP="003F312D">
            <w:pPr>
              <w:pBdr>
                <w:top w:val="nil"/>
                <w:left w:val="nil"/>
                <w:bottom w:val="nil"/>
                <w:right w:val="nil"/>
                <w:between w:val="nil"/>
              </w:pBdr>
              <w:jc w:val="both"/>
              <w:rPr>
                <w:color w:val="000000"/>
              </w:rPr>
            </w:pPr>
            <w:r>
              <w:rPr>
                <w:color w:val="000000"/>
              </w:rPr>
              <w:t xml:space="preserve">Implementation Arrangements </w:t>
            </w:r>
          </w:p>
        </w:tc>
        <w:tc>
          <w:tcPr>
            <w:tcW w:w="1418" w:type="dxa"/>
          </w:tcPr>
          <w:p w14:paraId="7AAC458A" w14:textId="154379A9" w:rsidR="00BE179C" w:rsidRDefault="0079703A" w:rsidP="003F312D">
            <w:pPr>
              <w:pBdr>
                <w:top w:val="nil"/>
                <w:left w:val="nil"/>
                <w:bottom w:val="nil"/>
                <w:right w:val="nil"/>
                <w:between w:val="nil"/>
              </w:pBdr>
              <w:jc w:val="center"/>
              <w:rPr>
                <w:color w:val="000000"/>
              </w:rPr>
            </w:pPr>
            <w:r>
              <w:rPr>
                <w:color w:val="000000"/>
              </w:rPr>
              <w:t>4</w:t>
            </w:r>
          </w:p>
        </w:tc>
      </w:tr>
      <w:tr w:rsidR="00BE179C" w14:paraId="36792A0F" w14:textId="77777777">
        <w:tc>
          <w:tcPr>
            <w:tcW w:w="1134" w:type="dxa"/>
          </w:tcPr>
          <w:p w14:paraId="5810A332" w14:textId="4A52A12A" w:rsidR="00BE179C" w:rsidRDefault="00BE179C" w:rsidP="003F312D">
            <w:pPr>
              <w:pBdr>
                <w:top w:val="nil"/>
                <w:left w:val="nil"/>
                <w:bottom w:val="nil"/>
                <w:right w:val="nil"/>
                <w:between w:val="nil"/>
              </w:pBdr>
              <w:jc w:val="center"/>
              <w:rPr>
                <w:color w:val="000000"/>
              </w:rPr>
            </w:pPr>
            <w:r>
              <w:rPr>
                <w:color w:val="000000"/>
              </w:rPr>
              <w:t>7</w:t>
            </w:r>
          </w:p>
        </w:tc>
        <w:tc>
          <w:tcPr>
            <w:tcW w:w="6804" w:type="dxa"/>
          </w:tcPr>
          <w:p w14:paraId="11519B12" w14:textId="62387141" w:rsidR="00BE179C" w:rsidRDefault="00BE179C" w:rsidP="003F312D">
            <w:pPr>
              <w:pBdr>
                <w:top w:val="nil"/>
                <w:left w:val="nil"/>
                <w:bottom w:val="nil"/>
                <w:right w:val="nil"/>
                <w:between w:val="nil"/>
              </w:pBdr>
              <w:jc w:val="both"/>
              <w:rPr>
                <w:color w:val="000000"/>
              </w:rPr>
            </w:pPr>
            <w:r>
              <w:rPr>
                <w:color w:val="000000"/>
              </w:rPr>
              <w:t>Monitoring and Review</w:t>
            </w:r>
          </w:p>
        </w:tc>
        <w:tc>
          <w:tcPr>
            <w:tcW w:w="1418" w:type="dxa"/>
          </w:tcPr>
          <w:p w14:paraId="02B6B638" w14:textId="13FD5077" w:rsidR="00BE179C" w:rsidRDefault="00A705D4" w:rsidP="003F312D">
            <w:pPr>
              <w:pBdr>
                <w:top w:val="nil"/>
                <w:left w:val="nil"/>
                <w:bottom w:val="nil"/>
                <w:right w:val="nil"/>
                <w:between w:val="nil"/>
              </w:pBdr>
              <w:jc w:val="center"/>
              <w:rPr>
                <w:color w:val="000000"/>
              </w:rPr>
            </w:pPr>
            <w:r>
              <w:rPr>
                <w:color w:val="000000"/>
              </w:rPr>
              <w:t>5</w:t>
            </w:r>
          </w:p>
        </w:tc>
      </w:tr>
      <w:tr w:rsidR="00BE179C" w14:paraId="2310B0C1" w14:textId="77777777">
        <w:tc>
          <w:tcPr>
            <w:tcW w:w="1134" w:type="dxa"/>
          </w:tcPr>
          <w:p w14:paraId="67AF22EA" w14:textId="156F6440" w:rsidR="00BE179C" w:rsidRDefault="00BE179C" w:rsidP="003F312D">
            <w:pPr>
              <w:pBdr>
                <w:top w:val="nil"/>
                <w:left w:val="nil"/>
                <w:bottom w:val="nil"/>
                <w:right w:val="nil"/>
                <w:between w:val="nil"/>
              </w:pBdr>
              <w:jc w:val="center"/>
              <w:rPr>
                <w:color w:val="000000"/>
              </w:rPr>
            </w:pPr>
            <w:r>
              <w:rPr>
                <w:color w:val="000000"/>
              </w:rPr>
              <w:t>8</w:t>
            </w:r>
          </w:p>
        </w:tc>
        <w:tc>
          <w:tcPr>
            <w:tcW w:w="6804" w:type="dxa"/>
          </w:tcPr>
          <w:p w14:paraId="44DB5E8C" w14:textId="18B52289" w:rsidR="00BE179C" w:rsidRDefault="00BE179C" w:rsidP="003F312D">
            <w:pPr>
              <w:pBdr>
                <w:top w:val="nil"/>
                <w:left w:val="nil"/>
                <w:bottom w:val="nil"/>
                <w:right w:val="nil"/>
                <w:between w:val="nil"/>
              </w:pBdr>
              <w:jc w:val="both"/>
              <w:rPr>
                <w:color w:val="000000"/>
              </w:rPr>
            </w:pPr>
            <w:r>
              <w:rPr>
                <w:color w:val="000000"/>
              </w:rPr>
              <w:t xml:space="preserve">Supporting/Related Documents </w:t>
            </w:r>
          </w:p>
        </w:tc>
        <w:tc>
          <w:tcPr>
            <w:tcW w:w="1418" w:type="dxa"/>
          </w:tcPr>
          <w:p w14:paraId="2EC6FE25" w14:textId="7804B001" w:rsidR="00BE179C" w:rsidRDefault="00A705D4" w:rsidP="003F312D">
            <w:pPr>
              <w:pBdr>
                <w:top w:val="nil"/>
                <w:left w:val="nil"/>
                <w:bottom w:val="nil"/>
                <w:right w:val="nil"/>
                <w:between w:val="nil"/>
              </w:pBdr>
              <w:jc w:val="center"/>
              <w:rPr>
                <w:color w:val="000000"/>
              </w:rPr>
            </w:pPr>
            <w:r>
              <w:rPr>
                <w:color w:val="000000"/>
              </w:rPr>
              <w:t>5</w:t>
            </w:r>
          </w:p>
        </w:tc>
      </w:tr>
      <w:tr w:rsidR="00BE179C" w14:paraId="0295212B" w14:textId="77777777">
        <w:tc>
          <w:tcPr>
            <w:tcW w:w="1134" w:type="dxa"/>
          </w:tcPr>
          <w:p w14:paraId="1ABD7F6B" w14:textId="6D65B341" w:rsidR="00BE179C" w:rsidRDefault="00BE179C" w:rsidP="003F312D">
            <w:pPr>
              <w:pBdr>
                <w:top w:val="nil"/>
                <w:left w:val="nil"/>
                <w:bottom w:val="nil"/>
                <w:right w:val="nil"/>
                <w:between w:val="nil"/>
              </w:pBdr>
              <w:jc w:val="center"/>
              <w:rPr>
                <w:color w:val="000000"/>
              </w:rPr>
            </w:pPr>
            <w:r>
              <w:rPr>
                <w:color w:val="000000"/>
              </w:rPr>
              <w:t>9</w:t>
            </w:r>
          </w:p>
        </w:tc>
        <w:tc>
          <w:tcPr>
            <w:tcW w:w="6804" w:type="dxa"/>
          </w:tcPr>
          <w:p w14:paraId="72CDF3B9" w14:textId="2AF1B311" w:rsidR="00BE179C" w:rsidRDefault="00BE179C" w:rsidP="003F312D">
            <w:pPr>
              <w:pBdr>
                <w:top w:val="nil"/>
                <w:left w:val="nil"/>
                <w:bottom w:val="nil"/>
                <w:right w:val="nil"/>
                <w:between w:val="nil"/>
              </w:pBdr>
              <w:jc w:val="both"/>
              <w:rPr>
                <w:color w:val="000000"/>
              </w:rPr>
            </w:pPr>
            <w:r>
              <w:rPr>
                <w:color w:val="000000"/>
              </w:rPr>
              <w:t xml:space="preserve">Regulations </w:t>
            </w:r>
          </w:p>
        </w:tc>
        <w:tc>
          <w:tcPr>
            <w:tcW w:w="1418" w:type="dxa"/>
          </w:tcPr>
          <w:p w14:paraId="620C07D3" w14:textId="6E3F8E51" w:rsidR="00BE179C" w:rsidRDefault="003A2AD1" w:rsidP="003F312D">
            <w:pPr>
              <w:pBdr>
                <w:top w:val="nil"/>
                <w:left w:val="nil"/>
                <w:bottom w:val="nil"/>
                <w:right w:val="nil"/>
                <w:between w:val="nil"/>
              </w:pBdr>
              <w:jc w:val="center"/>
              <w:rPr>
                <w:color w:val="000000"/>
              </w:rPr>
            </w:pPr>
            <w:r>
              <w:rPr>
                <w:color w:val="000000"/>
              </w:rPr>
              <w:t>5</w:t>
            </w:r>
          </w:p>
        </w:tc>
      </w:tr>
    </w:tbl>
    <w:p w14:paraId="5380EDB6" w14:textId="3B7E56DA" w:rsidR="003F312D" w:rsidRDefault="003F312D" w:rsidP="003F312D">
      <w:pPr>
        <w:spacing w:after="0" w:line="240" w:lineRule="auto"/>
        <w:rPr>
          <w:b/>
          <w:sz w:val="28"/>
          <w:szCs w:val="28"/>
        </w:rPr>
      </w:pPr>
    </w:p>
    <w:p w14:paraId="0000007D" w14:textId="1EDD4F8A" w:rsidR="00D5218E" w:rsidRDefault="00FA63DC">
      <w:pPr>
        <w:numPr>
          <w:ilvl w:val="0"/>
          <w:numId w:val="2"/>
        </w:numPr>
        <w:pBdr>
          <w:top w:val="nil"/>
          <w:left w:val="nil"/>
          <w:bottom w:val="nil"/>
          <w:right w:val="nil"/>
          <w:between w:val="nil"/>
        </w:pBdr>
        <w:spacing w:after="0" w:line="240" w:lineRule="auto"/>
        <w:ind w:left="426" w:hanging="426"/>
        <w:jc w:val="both"/>
        <w:rPr>
          <w:b/>
          <w:color w:val="000000"/>
          <w:sz w:val="28"/>
          <w:szCs w:val="28"/>
        </w:rPr>
      </w:pPr>
      <w:r>
        <w:rPr>
          <w:b/>
          <w:color w:val="000000"/>
          <w:sz w:val="28"/>
          <w:szCs w:val="28"/>
        </w:rPr>
        <w:t>P</w:t>
      </w:r>
      <w:r w:rsidR="004C519F">
        <w:rPr>
          <w:b/>
          <w:color w:val="000000"/>
          <w:sz w:val="28"/>
          <w:szCs w:val="28"/>
        </w:rPr>
        <w:t xml:space="preserve">olicy Statement </w:t>
      </w:r>
    </w:p>
    <w:p w14:paraId="6F17CC83" w14:textId="77777777" w:rsidR="00435654" w:rsidRDefault="00435654" w:rsidP="00435654">
      <w:pPr>
        <w:pBdr>
          <w:top w:val="nil"/>
          <w:left w:val="nil"/>
          <w:bottom w:val="nil"/>
          <w:right w:val="nil"/>
          <w:between w:val="nil"/>
        </w:pBdr>
        <w:spacing w:after="0" w:line="240" w:lineRule="auto"/>
        <w:jc w:val="both"/>
        <w:rPr>
          <w:b/>
          <w:color w:val="000000"/>
          <w:sz w:val="28"/>
          <w:szCs w:val="28"/>
        </w:rPr>
      </w:pPr>
    </w:p>
    <w:p w14:paraId="3794908F" w14:textId="77777777" w:rsidR="00435654" w:rsidRPr="00435654" w:rsidRDefault="00435654" w:rsidP="00C4379C">
      <w:pPr>
        <w:pBdr>
          <w:top w:val="nil"/>
          <w:left w:val="nil"/>
          <w:bottom w:val="nil"/>
          <w:right w:val="nil"/>
          <w:between w:val="nil"/>
        </w:pBdr>
        <w:spacing w:after="0" w:line="240" w:lineRule="auto"/>
        <w:jc w:val="both"/>
        <w:rPr>
          <w:bCs/>
          <w:color w:val="000000"/>
        </w:rPr>
      </w:pPr>
      <w:r w:rsidRPr="00435654">
        <w:rPr>
          <w:bCs/>
          <w:color w:val="000000"/>
        </w:rPr>
        <w:t xml:space="preserve">Higher Education courses within this policy are those defined as such by the Education Reform </w:t>
      </w:r>
    </w:p>
    <w:p w14:paraId="597AA114" w14:textId="77777777" w:rsidR="00435654" w:rsidRPr="00435654" w:rsidRDefault="00435654" w:rsidP="00C4379C">
      <w:pPr>
        <w:pBdr>
          <w:top w:val="nil"/>
          <w:left w:val="nil"/>
          <w:bottom w:val="nil"/>
          <w:right w:val="nil"/>
          <w:between w:val="nil"/>
        </w:pBdr>
        <w:spacing w:after="0" w:line="240" w:lineRule="auto"/>
        <w:jc w:val="both"/>
        <w:rPr>
          <w:bCs/>
          <w:color w:val="000000"/>
        </w:rPr>
      </w:pPr>
      <w:r w:rsidRPr="00435654">
        <w:rPr>
          <w:bCs/>
          <w:color w:val="000000"/>
        </w:rPr>
        <w:t xml:space="preserve">Act 1988 schedule 6. The college charges tuition fees for these courses in accordance with </w:t>
      </w:r>
    </w:p>
    <w:p w14:paraId="4C0ED3BD" w14:textId="50826204" w:rsidR="00435654" w:rsidRDefault="00435654" w:rsidP="00C4379C">
      <w:pPr>
        <w:pBdr>
          <w:top w:val="nil"/>
          <w:left w:val="nil"/>
          <w:bottom w:val="nil"/>
          <w:right w:val="nil"/>
          <w:between w:val="nil"/>
        </w:pBdr>
        <w:spacing w:after="0" w:line="240" w:lineRule="auto"/>
        <w:jc w:val="both"/>
        <w:rPr>
          <w:bCs/>
          <w:color w:val="000000"/>
        </w:rPr>
      </w:pPr>
      <w:r w:rsidRPr="00435654">
        <w:rPr>
          <w:bCs/>
          <w:color w:val="000000"/>
        </w:rPr>
        <w:t>parameters set out in Higher Education Research Act 2017.</w:t>
      </w:r>
    </w:p>
    <w:p w14:paraId="206DB971" w14:textId="77777777" w:rsidR="00435654" w:rsidRPr="00435654" w:rsidRDefault="00435654" w:rsidP="00435654">
      <w:pPr>
        <w:pBdr>
          <w:top w:val="nil"/>
          <w:left w:val="nil"/>
          <w:bottom w:val="nil"/>
          <w:right w:val="nil"/>
          <w:between w:val="nil"/>
        </w:pBdr>
        <w:spacing w:after="0" w:line="240" w:lineRule="auto"/>
        <w:jc w:val="both"/>
        <w:rPr>
          <w:bCs/>
          <w:color w:val="000000"/>
        </w:rPr>
      </w:pPr>
    </w:p>
    <w:p w14:paraId="7B502FE0" w14:textId="64CF2F77" w:rsidR="004C519F" w:rsidRDefault="004C519F">
      <w:pPr>
        <w:numPr>
          <w:ilvl w:val="0"/>
          <w:numId w:val="2"/>
        </w:numPr>
        <w:pBdr>
          <w:top w:val="nil"/>
          <w:left w:val="nil"/>
          <w:bottom w:val="nil"/>
          <w:right w:val="nil"/>
          <w:between w:val="nil"/>
        </w:pBdr>
        <w:spacing w:after="0" w:line="240" w:lineRule="auto"/>
        <w:ind w:left="426" w:hanging="426"/>
        <w:jc w:val="both"/>
        <w:rPr>
          <w:b/>
          <w:color w:val="000000"/>
          <w:sz w:val="28"/>
          <w:szCs w:val="28"/>
        </w:rPr>
      </w:pPr>
      <w:r>
        <w:rPr>
          <w:b/>
          <w:color w:val="000000"/>
          <w:sz w:val="28"/>
          <w:szCs w:val="28"/>
        </w:rPr>
        <w:t xml:space="preserve">Definitions </w:t>
      </w:r>
    </w:p>
    <w:p w14:paraId="4A661D4F" w14:textId="77777777" w:rsidR="008D282A" w:rsidRDefault="008D282A" w:rsidP="008D282A">
      <w:pPr>
        <w:pBdr>
          <w:top w:val="nil"/>
          <w:left w:val="nil"/>
          <w:bottom w:val="nil"/>
          <w:right w:val="nil"/>
          <w:between w:val="nil"/>
        </w:pBdr>
        <w:spacing w:after="0" w:line="240" w:lineRule="auto"/>
        <w:jc w:val="both"/>
        <w:rPr>
          <w:b/>
          <w:color w:val="000000"/>
          <w:sz w:val="28"/>
          <w:szCs w:val="28"/>
        </w:rPr>
      </w:pPr>
    </w:p>
    <w:p w14:paraId="7047BFC7" w14:textId="649EEE57" w:rsidR="008D282A" w:rsidRPr="008D282A" w:rsidRDefault="008D282A" w:rsidP="008D282A">
      <w:pPr>
        <w:pBdr>
          <w:top w:val="nil"/>
          <w:left w:val="nil"/>
          <w:bottom w:val="nil"/>
          <w:right w:val="nil"/>
          <w:between w:val="nil"/>
        </w:pBdr>
        <w:spacing w:after="0" w:line="240" w:lineRule="auto"/>
        <w:jc w:val="both"/>
        <w:rPr>
          <w:bCs/>
          <w:color w:val="000000"/>
        </w:rPr>
      </w:pPr>
      <w:r w:rsidRPr="008D282A">
        <w:rPr>
          <w:b/>
          <w:color w:val="000000"/>
        </w:rPr>
        <w:t>HERA:</w:t>
      </w:r>
      <w:r w:rsidRPr="008D282A">
        <w:rPr>
          <w:bCs/>
          <w:color w:val="000000"/>
        </w:rPr>
        <w:t xml:space="preserve"> Higher Education Research Act (2017)</w:t>
      </w:r>
    </w:p>
    <w:p w14:paraId="0B9527A3" w14:textId="77777777" w:rsidR="008D282A" w:rsidRPr="008D282A" w:rsidRDefault="008D282A" w:rsidP="008D282A">
      <w:pPr>
        <w:pBdr>
          <w:top w:val="nil"/>
          <w:left w:val="nil"/>
          <w:bottom w:val="nil"/>
          <w:right w:val="nil"/>
          <w:between w:val="nil"/>
        </w:pBdr>
        <w:spacing w:after="0" w:line="240" w:lineRule="auto"/>
        <w:jc w:val="both"/>
        <w:rPr>
          <w:bCs/>
          <w:color w:val="000000"/>
        </w:rPr>
      </w:pPr>
      <w:r w:rsidRPr="008D282A">
        <w:rPr>
          <w:b/>
          <w:color w:val="000000"/>
        </w:rPr>
        <w:t>OFS:</w:t>
      </w:r>
      <w:r w:rsidRPr="008D282A">
        <w:rPr>
          <w:bCs/>
          <w:color w:val="000000"/>
        </w:rPr>
        <w:t xml:space="preserve"> Office for Students</w:t>
      </w:r>
    </w:p>
    <w:p w14:paraId="741E52E1" w14:textId="77777777" w:rsidR="008D282A" w:rsidRPr="008D282A" w:rsidRDefault="008D282A" w:rsidP="008D282A">
      <w:pPr>
        <w:pBdr>
          <w:top w:val="nil"/>
          <w:left w:val="nil"/>
          <w:bottom w:val="nil"/>
          <w:right w:val="nil"/>
          <w:between w:val="nil"/>
        </w:pBdr>
        <w:spacing w:after="0" w:line="240" w:lineRule="auto"/>
        <w:jc w:val="both"/>
        <w:rPr>
          <w:bCs/>
          <w:color w:val="000000"/>
        </w:rPr>
      </w:pPr>
      <w:r w:rsidRPr="008D282A">
        <w:rPr>
          <w:b/>
          <w:color w:val="000000"/>
        </w:rPr>
        <w:t xml:space="preserve">APP: </w:t>
      </w:r>
      <w:r w:rsidRPr="008D282A">
        <w:rPr>
          <w:bCs/>
          <w:color w:val="000000"/>
        </w:rPr>
        <w:t>Access and Participation Plan</w:t>
      </w:r>
    </w:p>
    <w:p w14:paraId="4A5E8A8F" w14:textId="77777777" w:rsidR="008D282A" w:rsidRPr="008D282A" w:rsidRDefault="008D282A" w:rsidP="008D282A">
      <w:pPr>
        <w:pBdr>
          <w:top w:val="nil"/>
          <w:left w:val="nil"/>
          <w:bottom w:val="nil"/>
          <w:right w:val="nil"/>
          <w:between w:val="nil"/>
        </w:pBdr>
        <w:spacing w:after="0" w:line="240" w:lineRule="auto"/>
        <w:jc w:val="both"/>
        <w:rPr>
          <w:bCs/>
          <w:color w:val="000000"/>
        </w:rPr>
      </w:pPr>
      <w:r w:rsidRPr="008D282A">
        <w:rPr>
          <w:b/>
          <w:color w:val="000000"/>
        </w:rPr>
        <w:t>SLC:</w:t>
      </w:r>
      <w:r w:rsidRPr="008D282A">
        <w:rPr>
          <w:bCs/>
          <w:color w:val="000000"/>
        </w:rPr>
        <w:t xml:space="preserve"> Student Loan Company</w:t>
      </w:r>
    </w:p>
    <w:p w14:paraId="0F5BEE6D" w14:textId="27F65D80" w:rsidR="008D282A" w:rsidRPr="008D282A" w:rsidRDefault="008D282A" w:rsidP="008D282A">
      <w:pPr>
        <w:pBdr>
          <w:top w:val="nil"/>
          <w:left w:val="nil"/>
          <w:bottom w:val="nil"/>
          <w:right w:val="nil"/>
          <w:between w:val="nil"/>
        </w:pBdr>
        <w:spacing w:after="0" w:line="240" w:lineRule="auto"/>
        <w:jc w:val="both"/>
        <w:rPr>
          <w:bCs/>
          <w:color w:val="000000"/>
        </w:rPr>
      </w:pPr>
      <w:r w:rsidRPr="008D282A">
        <w:rPr>
          <w:b/>
          <w:color w:val="000000"/>
        </w:rPr>
        <w:t>SFE:</w:t>
      </w:r>
      <w:r w:rsidRPr="008D282A">
        <w:rPr>
          <w:bCs/>
          <w:color w:val="000000"/>
        </w:rPr>
        <w:t xml:space="preserve"> Student Finance England</w:t>
      </w:r>
    </w:p>
    <w:p w14:paraId="4393B08C" w14:textId="77777777" w:rsidR="008D282A" w:rsidRDefault="008D282A" w:rsidP="008D282A">
      <w:pPr>
        <w:pBdr>
          <w:top w:val="nil"/>
          <w:left w:val="nil"/>
          <w:bottom w:val="nil"/>
          <w:right w:val="nil"/>
          <w:between w:val="nil"/>
        </w:pBdr>
        <w:spacing w:after="0" w:line="240" w:lineRule="auto"/>
        <w:jc w:val="both"/>
        <w:rPr>
          <w:b/>
          <w:color w:val="000000"/>
          <w:sz w:val="28"/>
          <w:szCs w:val="28"/>
        </w:rPr>
      </w:pPr>
    </w:p>
    <w:p w14:paraId="32F242AA" w14:textId="0BA1A4AA" w:rsidR="004C519F" w:rsidRDefault="004C519F">
      <w:pPr>
        <w:numPr>
          <w:ilvl w:val="0"/>
          <w:numId w:val="2"/>
        </w:numPr>
        <w:pBdr>
          <w:top w:val="nil"/>
          <w:left w:val="nil"/>
          <w:bottom w:val="nil"/>
          <w:right w:val="nil"/>
          <w:between w:val="nil"/>
        </w:pBdr>
        <w:spacing w:after="0" w:line="240" w:lineRule="auto"/>
        <w:ind w:left="426" w:hanging="426"/>
        <w:jc w:val="both"/>
        <w:rPr>
          <w:b/>
          <w:color w:val="000000"/>
          <w:sz w:val="28"/>
          <w:szCs w:val="28"/>
        </w:rPr>
      </w:pPr>
      <w:r>
        <w:rPr>
          <w:b/>
          <w:color w:val="000000"/>
          <w:sz w:val="28"/>
          <w:szCs w:val="28"/>
        </w:rPr>
        <w:t>Principles</w:t>
      </w:r>
    </w:p>
    <w:p w14:paraId="35D86384" w14:textId="77777777" w:rsidR="008D282A" w:rsidRDefault="008D282A" w:rsidP="00A8154E">
      <w:pPr>
        <w:pBdr>
          <w:top w:val="nil"/>
          <w:left w:val="nil"/>
          <w:bottom w:val="nil"/>
          <w:right w:val="nil"/>
          <w:between w:val="nil"/>
        </w:pBdr>
        <w:spacing w:after="0" w:line="240" w:lineRule="auto"/>
        <w:jc w:val="both"/>
        <w:rPr>
          <w:b/>
          <w:color w:val="000000"/>
          <w:sz w:val="28"/>
          <w:szCs w:val="28"/>
        </w:rPr>
      </w:pPr>
    </w:p>
    <w:p w14:paraId="41E3E1ED" w14:textId="77777777" w:rsidR="00A8154E" w:rsidRDefault="00A8154E" w:rsidP="00A8154E">
      <w:pPr>
        <w:pBdr>
          <w:top w:val="nil"/>
          <w:left w:val="nil"/>
          <w:bottom w:val="nil"/>
          <w:right w:val="nil"/>
          <w:between w:val="nil"/>
        </w:pBdr>
        <w:spacing w:after="0" w:line="240" w:lineRule="auto"/>
        <w:jc w:val="both"/>
      </w:pPr>
      <w:r>
        <w:t xml:space="preserve">The key principles that underlie the fees and charges policy are: </w:t>
      </w:r>
    </w:p>
    <w:p w14:paraId="037B1129" w14:textId="77777777" w:rsidR="00A8154E" w:rsidRDefault="00A8154E" w:rsidP="00A8154E">
      <w:pPr>
        <w:pBdr>
          <w:top w:val="nil"/>
          <w:left w:val="nil"/>
          <w:bottom w:val="nil"/>
          <w:right w:val="nil"/>
          <w:between w:val="nil"/>
        </w:pBdr>
        <w:spacing w:after="0" w:line="240" w:lineRule="auto"/>
        <w:jc w:val="both"/>
      </w:pPr>
    </w:p>
    <w:p w14:paraId="3E87F63F" w14:textId="77777777" w:rsidR="00B377C1" w:rsidRDefault="00A8154E" w:rsidP="00B377C1">
      <w:pPr>
        <w:pStyle w:val="ListParagraph"/>
        <w:numPr>
          <w:ilvl w:val="0"/>
          <w:numId w:val="4"/>
        </w:numPr>
        <w:pBdr>
          <w:top w:val="nil"/>
          <w:left w:val="nil"/>
          <w:bottom w:val="nil"/>
          <w:right w:val="nil"/>
          <w:between w:val="nil"/>
        </w:pBdr>
        <w:spacing w:after="0" w:line="240" w:lineRule="auto"/>
        <w:jc w:val="both"/>
      </w:pPr>
      <w:r>
        <w:t>fees will be based within both the college’s APP and within the guidance set out by regulatory bodies</w:t>
      </w:r>
    </w:p>
    <w:p w14:paraId="02906FBE" w14:textId="0578F4D4" w:rsidR="00A8154E" w:rsidRDefault="00A8154E" w:rsidP="00B377C1">
      <w:pPr>
        <w:pStyle w:val="ListParagraph"/>
        <w:numPr>
          <w:ilvl w:val="0"/>
          <w:numId w:val="4"/>
        </w:numPr>
        <w:pBdr>
          <w:top w:val="nil"/>
          <w:left w:val="nil"/>
          <w:bottom w:val="nil"/>
          <w:right w:val="nil"/>
          <w:between w:val="nil"/>
        </w:pBdr>
        <w:spacing w:after="0" w:line="240" w:lineRule="auto"/>
        <w:jc w:val="both"/>
      </w:pPr>
      <w:r>
        <w:t xml:space="preserve">the cost of validating body registration and examination fees for all courses are contained within the policy </w:t>
      </w:r>
    </w:p>
    <w:p w14:paraId="281FF751" w14:textId="1D3A366C" w:rsidR="00A8154E" w:rsidRDefault="00A8154E" w:rsidP="00B377C1">
      <w:pPr>
        <w:pStyle w:val="ListParagraph"/>
        <w:numPr>
          <w:ilvl w:val="0"/>
          <w:numId w:val="4"/>
        </w:numPr>
        <w:pBdr>
          <w:top w:val="nil"/>
          <w:left w:val="nil"/>
          <w:bottom w:val="nil"/>
          <w:right w:val="nil"/>
          <w:between w:val="nil"/>
        </w:pBdr>
        <w:spacing w:after="0" w:line="240" w:lineRule="auto"/>
        <w:jc w:val="both"/>
      </w:pPr>
      <w:r>
        <w:t xml:space="preserve">students may pay their fees either through a loan from the SLC (where the student has an individual direct relationship with SFE), via an instalment plan or by being sponsored by a third party </w:t>
      </w:r>
    </w:p>
    <w:p w14:paraId="082208F0" w14:textId="57E9CFF8" w:rsidR="00A8154E" w:rsidRDefault="00A8154E" w:rsidP="00B377C1">
      <w:pPr>
        <w:pStyle w:val="ListParagraph"/>
        <w:numPr>
          <w:ilvl w:val="0"/>
          <w:numId w:val="4"/>
        </w:numPr>
        <w:pBdr>
          <w:top w:val="nil"/>
          <w:left w:val="nil"/>
          <w:bottom w:val="nil"/>
          <w:right w:val="nil"/>
          <w:between w:val="nil"/>
        </w:pBdr>
        <w:spacing w:after="0" w:line="240" w:lineRule="auto"/>
        <w:jc w:val="both"/>
      </w:pPr>
      <w:r>
        <w:t xml:space="preserve">proof of payment must be demonstrated at the time of enrolment </w:t>
      </w:r>
    </w:p>
    <w:p w14:paraId="0A8733BB" w14:textId="079F7FCA" w:rsidR="00A8154E" w:rsidRDefault="00A8154E" w:rsidP="00B377C1">
      <w:pPr>
        <w:pStyle w:val="ListParagraph"/>
        <w:numPr>
          <w:ilvl w:val="0"/>
          <w:numId w:val="4"/>
        </w:numPr>
        <w:pBdr>
          <w:top w:val="nil"/>
          <w:left w:val="nil"/>
          <w:bottom w:val="nil"/>
          <w:right w:val="nil"/>
          <w:between w:val="nil"/>
        </w:pBdr>
        <w:spacing w:after="0" w:line="240" w:lineRule="auto"/>
        <w:jc w:val="both"/>
      </w:pPr>
      <w:r>
        <w:t>refunds will only be given where appropriate</w:t>
      </w:r>
    </w:p>
    <w:p w14:paraId="034ABE06" w14:textId="359FE433" w:rsidR="00A8154E" w:rsidRDefault="00A8154E" w:rsidP="00B377C1">
      <w:pPr>
        <w:pStyle w:val="ListParagraph"/>
        <w:numPr>
          <w:ilvl w:val="0"/>
          <w:numId w:val="4"/>
        </w:numPr>
        <w:pBdr>
          <w:top w:val="nil"/>
          <w:left w:val="nil"/>
          <w:bottom w:val="nil"/>
          <w:right w:val="nil"/>
          <w:between w:val="nil"/>
        </w:pBdr>
        <w:spacing w:after="0" w:line="240" w:lineRule="auto"/>
        <w:jc w:val="both"/>
      </w:pPr>
      <w:r>
        <w:t xml:space="preserve">(except where stated in the course information as included or provided by the student’s own bursary/grant funding) tuition fees shall not include provision of course books and individual’s </w:t>
      </w:r>
      <w:r>
        <w:lastRenderedPageBreak/>
        <w:t xml:space="preserve">study materials, exam re-sit costs or retake costs for course modules. Fees do not include, and hence the college also expects students to pay separately for, non-essential activities e.g. photocopying and computer printing costs and for the costs of educational trips and visits, travel to and from college and meals and refreshments whilst at college </w:t>
      </w:r>
    </w:p>
    <w:p w14:paraId="6A00FEB3" w14:textId="614AD05F" w:rsidR="00A8154E" w:rsidRPr="00B377C1" w:rsidRDefault="00A8154E" w:rsidP="00B377C1">
      <w:pPr>
        <w:pStyle w:val="ListParagraph"/>
        <w:numPr>
          <w:ilvl w:val="0"/>
          <w:numId w:val="4"/>
        </w:numPr>
        <w:pBdr>
          <w:top w:val="nil"/>
          <w:left w:val="nil"/>
          <w:bottom w:val="nil"/>
          <w:right w:val="nil"/>
          <w:between w:val="nil"/>
        </w:pBdr>
        <w:spacing w:after="0" w:line="240" w:lineRule="auto"/>
        <w:jc w:val="both"/>
        <w:rPr>
          <w:b/>
          <w:color w:val="000000"/>
          <w:sz w:val="28"/>
          <w:szCs w:val="28"/>
        </w:rPr>
      </w:pPr>
      <w:r>
        <w:t>the college will, wherever possible, enable and facilitate students to access other funds available to contribute to the fees and charges for those students who would otherwise have difficulty in paying these costs.</w:t>
      </w:r>
    </w:p>
    <w:p w14:paraId="59D0C23E" w14:textId="77777777" w:rsidR="00A8154E" w:rsidRDefault="00A8154E" w:rsidP="00A8154E">
      <w:pPr>
        <w:pBdr>
          <w:top w:val="nil"/>
          <w:left w:val="nil"/>
          <w:bottom w:val="nil"/>
          <w:right w:val="nil"/>
          <w:between w:val="nil"/>
        </w:pBdr>
        <w:spacing w:after="0" w:line="240" w:lineRule="auto"/>
        <w:jc w:val="both"/>
        <w:rPr>
          <w:b/>
          <w:color w:val="000000"/>
          <w:sz w:val="28"/>
          <w:szCs w:val="28"/>
        </w:rPr>
      </w:pPr>
    </w:p>
    <w:p w14:paraId="5ADEE25B" w14:textId="4379D670" w:rsidR="00DA6BF3" w:rsidRDefault="00B377C1" w:rsidP="00DA6BF3">
      <w:pPr>
        <w:numPr>
          <w:ilvl w:val="0"/>
          <w:numId w:val="2"/>
        </w:numPr>
        <w:pBdr>
          <w:top w:val="nil"/>
          <w:left w:val="nil"/>
          <w:bottom w:val="nil"/>
          <w:right w:val="nil"/>
          <w:between w:val="nil"/>
        </w:pBdr>
        <w:spacing w:after="0" w:line="240" w:lineRule="auto"/>
        <w:ind w:left="426" w:hanging="426"/>
        <w:jc w:val="both"/>
        <w:rPr>
          <w:b/>
          <w:color w:val="000000"/>
          <w:sz w:val="28"/>
          <w:szCs w:val="28"/>
        </w:rPr>
      </w:pPr>
      <w:r>
        <w:rPr>
          <w:b/>
          <w:color w:val="000000"/>
          <w:sz w:val="28"/>
          <w:szCs w:val="28"/>
        </w:rPr>
        <w:t xml:space="preserve">Scope and Limitations </w:t>
      </w:r>
    </w:p>
    <w:p w14:paraId="71811942" w14:textId="77777777" w:rsidR="00DA6BF3" w:rsidRDefault="00DA6BF3" w:rsidP="00DA6BF3">
      <w:pPr>
        <w:pBdr>
          <w:top w:val="nil"/>
          <w:left w:val="nil"/>
          <w:bottom w:val="nil"/>
          <w:right w:val="nil"/>
          <w:between w:val="nil"/>
        </w:pBdr>
        <w:spacing w:after="0" w:line="240" w:lineRule="auto"/>
        <w:jc w:val="both"/>
        <w:rPr>
          <w:b/>
          <w:color w:val="000000"/>
          <w:sz w:val="28"/>
          <w:szCs w:val="28"/>
        </w:rPr>
      </w:pPr>
    </w:p>
    <w:p w14:paraId="05D13285" w14:textId="77777777" w:rsidR="00894E1F" w:rsidRDefault="00894E1F" w:rsidP="00894E1F">
      <w:pPr>
        <w:pBdr>
          <w:top w:val="nil"/>
          <w:left w:val="nil"/>
          <w:bottom w:val="nil"/>
          <w:right w:val="nil"/>
          <w:between w:val="nil"/>
        </w:pBdr>
        <w:spacing w:after="0" w:line="240" w:lineRule="auto"/>
        <w:jc w:val="both"/>
        <w:rPr>
          <w:bCs/>
          <w:color w:val="000000"/>
        </w:rPr>
      </w:pPr>
      <w:r w:rsidRPr="00894E1F">
        <w:rPr>
          <w:bCs/>
          <w:color w:val="000000"/>
        </w:rPr>
        <w:t>The fees policy covers all Higher Education students on all modes and levels of teaching</w:t>
      </w:r>
      <w:r>
        <w:rPr>
          <w:bCs/>
          <w:color w:val="000000"/>
        </w:rPr>
        <w:t xml:space="preserve">. </w:t>
      </w:r>
    </w:p>
    <w:p w14:paraId="60D86BC4" w14:textId="458BDC80" w:rsidR="00B377C1" w:rsidRPr="00894E1F" w:rsidRDefault="00B377C1" w:rsidP="00894E1F">
      <w:pPr>
        <w:pBdr>
          <w:top w:val="nil"/>
          <w:left w:val="nil"/>
          <w:bottom w:val="nil"/>
          <w:right w:val="nil"/>
          <w:between w:val="nil"/>
        </w:pBdr>
        <w:spacing w:after="0" w:line="240" w:lineRule="auto"/>
        <w:jc w:val="both"/>
        <w:rPr>
          <w:bCs/>
          <w:color w:val="000000"/>
        </w:rPr>
      </w:pPr>
      <w:r w:rsidRPr="00894E1F">
        <w:rPr>
          <w:bCs/>
          <w:color w:val="000000"/>
        </w:rPr>
        <w:t xml:space="preserve"> </w:t>
      </w:r>
    </w:p>
    <w:p w14:paraId="6E2E91E4" w14:textId="77777777" w:rsidR="00417F7A" w:rsidRDefault="00B5234E" w:rsidP="00417F7A">
      <w:pPr>
        <w:numPr>
          <w:ilvl w:val="0"/>
          <w:numId w:val="2"/>
        </w:numPr>
        <w:pBdr>
          <w:top w:val="nil"/>
          <w:left w:val="nil"/>
          <w:bottom w:val="nil"/>
          <w:right w:val="nil"/>
          <w:between w:val="nil"/>
        </w:pBdr>
        <w:spacing w:after="0" w:line="240" w:lineRule="auto"/>
        <w:ind w:left="426" w:hanging="426"/>
        <w:jc w:val="both"/>
        <w:rPr>
          <w:b/>
          <w:color w:val="000000"/>
          <w:sz w:val="28"/>
          <w:szCs w:val="28"/>
        </w:rPr>
      </w:pPr>
      <w:r>
        <w:rPr>
          <w:b/>
          <w:color w:val="000000"/>
          <w:sz w:val="28"/>
          <w:szCs w:val="28"/>
        </w:rPr>
        <w:t xml:space="preserve">Responsibilities </w:t>
      </w:r>
    </w:p>
    <w:p w14:paraId="78BAA558" w14:textId="77777777" w:rsidR="00417F7A" w:rsidRDefault="00417F7A" w:rsidP="00831758">
      <w:pPr>
        <w:pBdr>
          <w:top w:val="nil"/>
          <w:left w:val="nil"/>
          <w:bottom w:val="nil"/>
          <w:right w:val="nil"/>
          <w:between w:val="nil"/>
        </w:pBdr>
        <w:spacing w:after="0" w:line="240" w:lineRule="auto"/>
        <w:jc w:val="both"/>
        <w:rPr>
          <w:b/>
          <w:color w:val="000000"/>
          <w:sz w:val="28"/>
          <w:szCs w:val="28"/>
        </w:rPr>
      </w:pPr>
    </w:p>
    <w:p w14:paraId="2722701B" w14:textId="77777777" w:rsidR="00831758" w:rsidRPr="009D6883" w:rsidRDefault="00831758" w:rsidP="00831758">
      <w:pPr>
        <w:pBdr>
          <w:top w:val="nil"/>
          <w:left w:val="nil"/>
          <w:bottom w:val="nil"/>
          <w:right w:val="nil"/>
          <w:between w:val="nil"/>
        </w:pBdr>
        <w:spacing w:after="0" w:line="240" w:lineRule="auto"/>
        <w:jc w:val="both"/>
        <w:rPr>
          <w:bCs/>
          <w:color w:val="000000"/>
        </w:rPr>
      </w:pPr>
      <w:r w:rsidRPr="009D6883">
        <w:rPr>
          <w:bCs/>
          <w:color w:val="000000"/>
        </w:rPr>
        <w:t xml:space="preserve">The Governing Body is responsible for setting the policy by which the tuition and other fees </w:t>
      </w:r>
    </w:p>
    <w:p w14:paraId="6F3387B5" w14:textId="6EA78777" w:rsidR="00831758" w:rsidRPr="009D6883" w:rsidRDefault="00831758" w:rsidP="00831758">
      <w:pPr>
        <w:pBdr>
          <w:top w:val="nil"/>
          <w:left w:val="nil"/>
          <w:bottom w:val="nil"/>
          <w:right w:val="nil"/>
          <w:between w:val="nil"/>
        </w:pBdr>
        <w:spacing w:after="0" w:line="240" w:lineRule="auto"/>
        <w:jc w:val="both"/>
        <w:rPr>
          <w:bCs/>
          <w:color w:val="000000"/>
        </w:rPr>
      </w:pPr>
      <w:r w:rsidRPr="009D6883">
        <w:rPr>
          <w:bCs/>
          <w:color w:val="000000"/>
        </w:rPr>
        <w:t xml:space="preserve">payable to it are determined, in accordance with the </w:t>
      </w:r>
      <w:hyperlink r:id="rId15" w:history="1">
        <w:r w:rsidRPr="0066129B">
          <w:rPr>
            <w:rStyle w:val="Hyperlink"/>
            <w:bCs/>
          </w:rPr>
          <w:t>Instrument and Articles of Government</w:t>
        </w:r>
      </w:hyperlink>
    </w:p>
    <w:p w14:paraId="26EA2B08" w14:textId="77777777" w:rsidR="00831758" w:rsidRDefault="00831758" w:rsidP="00831758">
      <w:pPr>
        <w:pBdr>
          <w:top w:val="nil"/>
          <w:left w:val="nil"/>
          <w:bottom w:val="nil"/>
          <w:right w:val="nil"/>
          <w:between w:val="nil"/>
        </w:pBdr>
        <w:spacing w:after="0" w:line="240" w:lineRule="auto"/>
        <w:jc w:val="both"/>
        <w:rPr>
          <w:bCs/>
          <w:color w:val="000000"/>
        </w:rPr>
      </w:pPr>
      <w:r w:rsidRPr="009D6883">
        <w:rPr>
          <w:bCs/>
          <w:color w:val="000000"/>
        </w:rPr>
        <w:t>(Article 19 refers).</w:t>
      </w:r>
    </w:p>
    <w:p w14:paraId="7CEEE440" w14:textId="77777777" w:rsidR="009D6883" w:rsidRPr="009D6883" w:rsidRDefault="009D6883" w:rsidP="00831758">
      <w:pPr>
        <w:pBdr>
          <w:top w:val="nil"/>
          <w:left w:val="nil"/>
          <w:bottom w:val="nil"/>
          <w:right w:val="nil"/>
          <w:between w:val="nil"/>
        </w:pBdr>
        <w:spacing w:after="0" w:line="240" w:lineRule="auto"/>
        <w:jc w:val="both"/>
        <w:rPr>
          <w:bCs/>
          <w:color w:val="000000"/>
        </w:rPr>
      </w:pPr>
    </w:p>
    <w:p w14:paraId="0081AA8D" w14:textId="77777777" w:rsidR="00831758" w:rsidRPr="009D6883" w:rsidRDefault="00831758" w:rsidP="00831758">
      <w:pPr>
        <w:pBdr>
          <w:top w:val="nil"/>
          <w:left w:val="nil"/>
          <w:bottom w:val="nil"/>
          <w:right w:val="nil"/>
          <w:between w:val="nil"/>
        </w:pBdr>
        <w:spacing w:after="0" w:line="240" w:lineRule="auto"/>
        <w:jc w:val="both"/>
        <w:rPr>
          <w:bCs/>
          <w:color w:val="000000"/>
        </w:rPr>
      </w:pPr>
      <w:r w:rsidRPr="009D6883">
        <w:rPr>
          <w:bCs/>
          <w:color w:val="000000"/>
        </w:rPr>
        <w:t xml:space="preserve">The Chief Executive and Principal, as Accounting Officer, is responsible for overall operation of </w:t>
      </w:r>
    </w:p>
    <w:p w14:paraId="09789222" w14:textId="77777777" w:rsidR="00831758" w:rsidRDefault="00831758" w:rsidP="00831758">
      <w:pPr>
        <w:pBdr>
          <w:top w:val="nil"/>
          <w:left w:val="nil"/>
          <w:bottom w:val="nil"/>
          <w:right w:val="nil"/>
          <w:between w:val="nil"/>
        </w:pBdr>
        <w:spacing w:after="0" w:line="240" w:lineRule="auto"/>
        <w:jc w:val="both"/>
        <w:rPr>
          <w:bCs/>
          <w:color w:val="000000"/>
        </w:rPr>
      </w:pPr>
      <w:r w:rsidRPr="009D6883">
        <w:rPr>
          <w:bCs/>
          <w:color w:val="000000"/>
        </w:rPr>
        <w:t>the fees policy of the college.</w:t>
      </w:r>
    </w:p>
    <w:p w14:paraId="600F2289" w14:textId="77777777" w:rsidR="009D6883" w:rsidRPr="009D6883" w:rsidRDefault="009D6883" w:rsidP="00831758">
      <w:pPr>
        <w:pBdr>
          <w:top w:val="nil"/>
          <w:left w:val="nil"/>
          <w:bottom w:val="nil"/>
          <w:right w:val="nil"/>
          <w:between w:val="nil"/>
        </w:pBdr>
        <w:spacing w:after="0" w:line="240" w:lineRule="auto"/>
        <w:jc w:val="both"/>
        <w:rPr>
          <w:bCs/>
          <w:color w:val="000000"/>
        </w:rPr>
      </w:pPr>
    </w:p>
    <w:p w14:paraId="718ACA96" w14:textId="77777777" w:rsidR="00831758" w:rsidRPr="009D6883" w:rsidRDefault="00831758" w:rsidP="00831758">
      <w:pPr>
        <w:pBdr>
          <w:top w:val="nil"/>
          <w:left w:val="nil"/>
          <w:bottom w:val="nil"/>
          <w:right w:val="nil"/>
          <w:between w:val="nil"/>
        </w:pBdr>
        <w:spacing w:after="0" w:line="240" w:lineRule="auto"/>
        <w:jc w:val="both"/>
        <w:rPr>
          <w:bCs/>
          <w:color w:val="000000"/>
        </w:rPr>
      </w:pPr>
      <w:r w:rsidRPr="009D6883">
        <w:rPr>
          <w:bCs/>
          <w:color w:val="000000"/>
        </w:rPr>
        <w:t xml:space="preserve">The Executive Director of Strategy and Systems Improvement is responsible for updating, </w:t>
      </w:r>
    </w:p>
    <w:p w14:paraId="748AD696" w14:textId="77777777" w:rsidR="00831758" w:rsidRPr="009D6883" w:rsidRDefault="00831758" w:rsidP="00831758">
      <w:pPr>
        <w:pBdr>
          <w:top w:val="nil"/>
          <w:left w:val="nil"/>
          <w:bottom w:val="nil"/>
          <w:right w:val="nil"/>
          <w:between w:val="nil"/>
        </w:pBdr>
        <w:spacing w:after="0" w:line="240" w:lineRule="auto"/>
        <w:jc w:val="both"/>
        <w:rPr>
          <w:bCs/>
          <w:color w:val="000000"/>
        </w:rPr>
      </w:pPr>
      <w:r w:rsidRPr="009D6883">
        <w:rPr>
          <w:bCs/>
          <w:color w:val="000000"/>
        </w:rPr>
        <w:t xml:space="preserve">monitoring the implementation of, and evaluation of the policy and for considering applications </w:t>
      </w:r>
    </w:p>
    <w:p w14:paraId="0D5724EB" w14:textId="77777777" w:rsidR="00831758" w:rsidRDefault="00831758" w:rsidP="00831758">
      <w:pPr>
        <w:pBdr>
          <w:top w:val="nil"/>
          <w:left w:val="nil"/>
          <w:bottom w:val="nil"/>
          <w:right w:val="nil"/>
          <w:between w:val="nil"/>
        </w:pBdr>
        <w:spacing w:after="0" w:line="240" w:lineRule="auto"/>
        <w:jc w:val="both"/>
        <w:rPr>
          <w:bCs/>
          <w:color w:val="000000"/>
        </w:rPr>
      </w:pPr>
      <w:r w:rsidRPr="009D6883">
        <w:rPr>
          <w:bCs/>
          <w:color w:val="000000"/>
        </w:rPr>
        <w:t>for fee waivers.</w:t>
      </w:r>
    </w:p>
    <w:p w14:paraId="64BC7244" w14:textId="77777777" w:rsidR="009D6883" w:rsidRPr="009D6883" w:rsidRDefault="009D6883" w:rsidP="00831758">
      <w:pPr>
        <w:pBdr>
          <w:top w:val="nil"/>
          <w:left w:val="nil"/>
          <w:bottom w:val="nil"/>
          <w:right w:val="nil"/>
          <w:between w:val="nil"/>
        </w:pBdr>
        <w:spacing w:after="0" w:line="240" w:lineRule="auto"/>
        <w:jc w:val="both"/>
        <w:rPr>
          <w:bCs/>
          <w:color w:val="000000"/>
        </w:rPr>
      </w:pPr>
    </w:p>
    <w:p w14:paraId="5CE601DC" w14:textId="77777777" w:rsidR="00831758" w:rsidRPr="009D6883" w:rsidRDefault="00831758" w:rsidP="00831758">
      <w:pPr>
        <w:pBdr>
          <w:top w:val="nil"/>
          <w:left w:val="nil"/>
          <w:bottom w:val="nil"/>
          <w:right w:val="nil"/>
          <w:between w:val="nil"/>
        </w:pBdr>
        <w:spacing w:after="0" w:line="240" w:lineRule="auto"/>
        <w:jc w:val="both"/>
        <w:rPr>
          <w:bCs/>
          <w:color w:val="000000"/>
        </w:rPr>
      </w:pPr>
      <w:r w:rsidRPr="009D6883">
        <w:rPr>
          <w:bCs/>
          <w:color w:val="000000"/>
        </w:rPr>
        <w:t xml:space="preserve">The Deputy Principal is responsible for the appeals process for tuition fee refund or waiver </w:t>
      </w:r>
    </w:p>
    <w:p w14:paraId="7EE24BC1" w14:textId="77777777" w:rsidR="00831758" w:rsidRDefault="00831758" w:rsidP="00831758">
      <w:pPr>
        <w:pBdr>
          <w:top w:val="nil"/>
          <w:left w:val="nil"/>
          <w:bottom w:val="nil"/>
          <w:right w:val="nil"/>
          <w:between w:val="nil"/>
        </w:pBdr>
        <w:spacing w:after="0" w:line="240" w:lineRule="auto"/>
        <w:jc w:val="both"/>
        <w:rPr>
          <w:bCs/>
          <w:color w:val="000000"/>
        </w:rPr>
      </w:pPr>
      <w:r w:rsidRPr="009D6883">
        <w:rPr>
          <w:bCs/>
          <w:color w:val="000000"/>
        </w:rPr>
        <w:t>requests.</w:t>
      </w:r>
    </w:p>
    <w:p w14:paraId="2934CF75" w14:textId="77777777" w:rsidR="009D6883" w:rsidRPr="009D6883" w:rsidRDefault="009D6883" w:rsidP="00831758">
      <w:pPr>
        <w:pBdr>
          <w:top w:val="nil"/>
          <w:left w:val="nil"/>
          <w:bottom w:val="nil"/>
          <w:right w:val="nil"/>
          <w:between w:val="nil"/>
        </w:pBdr>
        <w:spacing w:after="0" w:line="240" w:lineRule="auto"/>
        <w:jc w:val="both"/>
        <w:rPr>
          <w:bCs/>
          <w:color w:val="000000"/>
        </w:rPr>
      </w:pPr>
    </w:p>
    <w:p w14:paraId="4A812E76" w14:textId="61CFB56B" w:rsidR="00831758" w:rsidRPr="009D6883" w:rsidRDefault="00831758" w:rsidP="00831758">
      <w:pPr>
        <w:pBdr>
          <w:top w:val="nil"/>
          <w:left w:val="nil"/>
          <w:bottom w:val="nil"/>
          <w:right w:val="nil"/>
          <w:between w:val="nil"/>
        </w:pBdr>
        <w:spacing w:after="0" w:line="240" w:lineRule="auto"/>
        <w:jc w:val="both"/>
        <w:rPr>
          <w:bCs/>
          <w:color w:val="000000"/>
        </w:rPr>
      </w:pPr>
      <w:r w:rsidRPr="009D6883">
        <w:rPr>
          <w:bCs/>
          <w:color w:val="000000"/>
        </w:rPr>
        <w:t xml:space="preserve">The Executive Director </w:t>
      </w:r>
      <w:r w:rsidR="009D6883">
        <w:rPr>
          <w:bCs/>
          <w:color w:val="000000"/>
        </w:rPr>
        <w:t>of</w:t>
      </w:r>
      <w:r w:rsidRPr="009D6883">
        <w:rPr>
          <w:bCs/>
          <w:color w:val="000000"/>
        </w:rPr>
        <w:t xml:space="preserve"> Strategy </w:t>
      </w:r>
      <w:r w:rsidR="009D6883">
        <w:rPr>
          <w:bCs/>
          <w:color w:val="000000"/>
        </w:rPr>
        <w:t xml:space="preserve">and </w:t>
      </w:r>
      <w:r w:rsidRPr="009D6883">
        <w:rPr>
          <w:bCs/>
          <w:color w:val="000000"/>
        </w:rPr>
        <w:t xml:space="preserve">Systems Improvement is responsible for the setting of </w:t>
      </w:r>
    </w:p>
    <w:p w14:paraId="58E04EBD" w14:textId="77777777" w:rsidR="00831758" w:rsidRPr="009D6883" w:rsidRDefault="00831758" w:rsidP="00831758">
      <w:pPr>
        <w:pBdr>
          <w:top w:val="nil"/>
          <w:left w:val="nil"/>
          <w:bottom w:val="nil"/>
          <w:right w:val="nil"/>
          <w:between w:val="nil"/>
        </w:pBdr>
        <w:spacing w:after="0" w:line="240" w:lineRule="auto"/>
        <w:jc w:val="both"/>
        <w:rPr>
          <w:bCs/>
          <w:color w:val="000000"/>
        </w:rPr>
      </w:pPr>
      <w:r w:rsidRPr="009D6883">
        <w:rPr>
          <w:bCs/>
          <w:color w:val="000000"/>
        </w:rPr>
        <w:t xml:space="preserve">Higher Education tuition fees and ensuring that the Higher Education Tuition Fees are reviewed </w:t>
      </w:r>
    </w:p>
    <w:p w14:paraId="30399BC0" w14:textId="77777777" w:rsidR="00831758" w:rsidRPr="009D6883" w:rsidRDefault="00831758" w:rsidP="00831758">
      <w:pPr>
        <w:pBdr>
          <w:top w:val="nil"/>
          <w:left w:val="nil"/>
          <w:bottom w:val="nil"/>
          <w:right w:val="nil"/>
          <w:between w:val="nil"/>
        </w:pBdr>
        <w:spacing w:after="0" w:line="240" w:lineRule="auto"/>
        <w:jc w:val="both"/>
        <w:rPr>
          <w:bCs/>
          <w:color w:val="000000"/>
        </w:rPr>
      </w:pPr>
      <w:r w:rsidRPr="009D6883">
        <w:rPr>
          <w:bCs/>
          <w:color w:val="000000"/>
        </w:rPr>
        <w:t xml:space="preserve">annually in line with Office for Student guidelines, the Access and Participation Plan, the </w:t>
      </w:r>
    </w:p>
    <w:p w14:paraId="2D18EE97" w14:textId="77777777" w:rsidR="00831758" w:rsidRDefault="00831758" w:rsidP="00831758">
      <w:pPr>
        <w:pBdr>
          <w:top w:val="nil"/>
          <w:left w:val="nil"/>
          <w:bottom w:val="nil"/>
          <w:right w:val="nil"/>
          <w:between w:val="nil"/>
        </w:pBdr>
        <w:spacing w:after="0" w:line="240" w:lineRule="auto"/>
        <w:jc w:val="both"/>
        <w:rPr>
          <w:bCs/>
          <w:color w:val="000000"/>
        </w:rPr>
      </w:pPr>
      <w:r w:rsidRPr="009D6883">
        <w:rPr>
          <w:bCs/>
          <w:color w:val="000000"/>
        </w:rPr>
        <w:t>Teaching Excellence Framework and with due regard for financial viability and market forces.</w:t>
      </w:r>
    </w:p>
    <w:p w14:paraId="6DC8B036" w14:textId="77777777" w:rsidR="009D6883" w:rsidRPr="009D6883" w:rsidRDefault="009D6883" w:rsidP="00831758">
      <w:pPr>
        <w:pBdr>
          <w:top w:val="nil"/>
          <w:left w:val="nil"/>
          <w:bottom w:val="nil"/>
          <w:right w:val="nil"/>
          <w:between w:val="nil"/>
        </w:pBdr>
        <w:spacing w:after="0" w:line="240" w:lineRule="auto"/>
        <w:jc w:val="both"/>
        <w:rPr>
          <w:bCs/>
          <w:color w:val="000000"/>
        </w:rPr>
      </w:pPr>
    </w:p>
    <w:p w14:paraId="1C365C6F" w14:textId="60F7EF22" w:rsidR="00831758" w:rsidRDefault="00831758" w:rsidP="72DA0A04">
      <w:pPr>
        <w:pBdr>
          <w:top w:val="nil"/>
          <w:left w:val="nil"/>
          <w:bottom w:val="nil"/>
          <w:right w:val="nil"/>
          <w:between w:val="nil"/>
        </w:pBdr>
        <w:spacing w:after="0" w:line="240" w:lineRule="auto"/>
        <w:jc w:val="both"/>
        <w:rPr>
          <w:color w:val="000000"/>
        </w:rPr>
      </w:pPr>
      <w:r w:rsidRPr="72DA0A04">
        <w:rPr>
          <w:color w:val="000000" w:themeColor="text1"/>
        </w:rPr>
        <w:t xml:space="preserve">The </w:t>
      </w:r>
      <w:r w:rsidR="5C56FBD3" w:rsidRPr="72DA0A04">
        <w:rPr>
          <w:color w:val="000000" w:themeColor="text1"/>
        </w:rPr>
        <w:t>Deputy Chief Executive is</w:t>
      </w:r>
      <w:r w:rsidRPr="72DA0A04">
        <w:rPr>
          <w:color w:val="000000" w:themeColor="text1"/>
        </w:rPr>
        <w:t xml:space="preserve"> responsible for ensuring that fees are appropriately advertised to all prospective students.</w:t>
      </w:r>
    </w:p>
    <w:p w14:paraId="3AFF0BDF" w14:textId="77777777" w:rsidR="009D6883" w:rsidRPr="009D6883" w:rsidRDefault="009D6883" w:rsidP="00831758">
      <w:pPr>
        <w:pBdr>
          <w:top w:val="nil"/>
          <w:left w:val="nil"/>
          <w:bottom w:val="nil"/>
          <w:right w:val="nil"/>
          <w:between w:val="nil"/>
        </w:pBdr>
        <w:spacing w:after="0" w:line="240" w:lineRule="auto"/>
        <w:jc w:val="both"/>
        <w:rPr>
          <w:bCs/>
          <w:color w:val="000000"/>
        </w:rPr>
      </w:pPr>
    </w:p>
    <w:p w14:paraId="6C84DC8C" w14:textId="77777777" w:rsidR="00831758" w:rsidRPr="009D6883" w:rsidRDefault="00831758" w:rsidP="00831758">
      <w:pPr>
        <w:pBdr>
          <w:top w:val="nil"/>
          <w:left w:val="nil"/>
          <w:bottom w:val="nil"/>
          <w:right w:val="nil"/>
          <w:between w:val="nil"/>
        </w:pBdr>
        <w:spacing w:after="0" w:line="240" w:lineRule="auto"/>
        <w:jc w:val="both"/>
        <w:rPr>
          <w:bCs/>
          <w:color w:val="000000"/>
        </w:rPr>
      </w:pPr>
      <w:r w:rsidRPr="009D6883">
        <w:rPr>
          <w:bCs/>
          <w:color w:val="000000"/>
        </w:rPr>
        <w:t xml:space="preserve">The Head of Data Services and Exams is responsible for ensuring that the correct fees are </w:t>
      </w:r>
    </w:p>
    <w:p w14:paraId="400DD8FA" w14:textId="77777777" w:rsidR="00831758" w:rsidRPr="009D6883" w:rsidRDefault="00831758" w:rsidP="00831758">
      <w:pPr>
        <w:pBdr>
          <w:top w:val="nil"/>
          <w:left w:val="nil"/>
          <w:bottom w:val="nil"/>
          <w:right w:val="nil"/>
          <w:between w:val="nil"/>
        </w:pBdr>
        <w:spacing w:after="0" w:line="240" w:lineRule="auto"/>
        <w:jc w:val="both"/>
        <w:rPr>
          <w:bCs/>
          <w:color w:val="000000"/>
        </w:rPr>
      </w:pPr>
      <w:r w:rsidRPr="009D6883">
        <w:rPr>
          <w:bCs/>
          <w:color w:val="000000"/>
        </w:rPr>
        <w:t xml:space="preserve">captured in the college’s system and accurate information is available to students throughout </w:t>
      </w:r>
    </w:p>
    <w:p w14:paraId="3C55297B" w14:textId="657738FC" w:rsidR="00831758" w:rsidRPr="009D6883" w:rsidRDefault="00831758" w:rsidP="00831758">
      <w:pPr>
        <w:pBdr>
          <w:top w:val="nil"/>
          <w:left w:val="nil"/>
          <w:bottom w:val="nil"/>
          <w:right w:val="nil"/>
          <w:between w:val="nil"/>
        </w:pBdr>
        <w:spacing w:after="0" w:line="240" w:lineRule="auto"/>
        <w:jc w:val="both"/>
        <w:rPr>
          <w:bCs/>
          <w:color w:val="000000"/>
        </w:rPr>
      </w:pPr>
      <w:r w:rsidRPr="009D6883">
        <w:rPr>
          <w:bCs/>
          <w:color w:val="000000"/>
        </w:rPr>
        <w:t>enrolment</w:t>
      </w:r>
      <w:r w:rsidR="009D6883">
        <w:rPr>
          <w:bCs/>
          <w:color w:val="000000"/>
        </w:rPr>
        <w:t>.</w:t>
      </w:r>
    </w:p>
    <w:p w14:paraId="6BB588DD" w14:textId="77777777" w:rsidR="00831758" w:rsidRPr="009D6883" w:rsidRDefault="00831758" w:rsidP="00831758">
      <w:pPr>
        <w:pBdr>
          <w:top w:val="nil"/>
          <w:left w:val="nil"/>
          <w:bottom w:val="nil"/>
          <w:right w:val="nil"/>
          <w:between w:val="nil"/>
        </w:pBdr>
        <w:spacing w:after="0" w:line="240" w:lineRule="auto"/>
        <w:jc w:val="both"/>
        <w:rPr>
          <w:bCs/>
          <w:color w:val="000000"/>
        </w:rPr>
      </w:pPr>
    </w:p>
    <w:p w14:paraId="5F393E21" w14:textId="77777777" w:rsidR="00831758" w:rsidRDefault="00831758" w:rsidP="00831758">
      <w:pPr>
        <w:pBdr>
          <w:top w:val="nil"/>
          <w:left w:val="nil"/>
          <w:bottom w:val="nil"/>
          <w:right w:val="nil"/>
          <w:between w:val="nil"/>
        </w:pBdr>
        <w:spacing w:after="0" w:line="240" w:lineRule="auto"/>
        <w:jc w:val="both"/>
        <w:rPr>
          <w:b/>
          <w:color w:val="000000"/>
          <w:sz w:val="28"/>
          <w:szCs w:val="28"/>
        </w:rPr>
      </w:pPr>
    </w:p>
    <w:p w14:paraId="48FF2B71" w14:textId="77777777" w:rsidR="00417F7A" w:rsidRDefault="00417F7A" w:rsidP="00417F7A">
      <w:pPr>
        <w:numPr>
          <w:ilvl w:val="0"/>
          <w:numId w:val="2"/>
        </w:numPr>
        <w:pBdr>
          <w:top w:val="nil"/>
          <w:left w:val="nil"/>
          <w:bottom w:val="nil"/>
          <w:right w:val="nil"/>
          <w:between w:val="nil"/>
        </w:pBdr>
        <w:spacing w:after="0" w:line="240" w:lineRule="auto"/>
        <w:ind w:left="426" w:hanging="426"/>
        <w:jc w:val="both"/>
        <w:rPr>
          <w:b/>
          <w:color w:val="000000"/>
          <w:sz w:val="28"/>
          <w:szCs w:val="28"/>
        </w:rPr>
      </w:pPr>
      <w:r>
        <w:rPr>
          <w:b/>
          <w:color w:val="000000"/>
          <w:sz w:val="28"/>
          <w:szCs w:val="28"/>
        </w:rPr>
        <w:t xml:space="preserve">Implementation Arrangements </w:t>
      </w:r>
    </w:p>
    <w:p w14:paraId="27117B99" w14:textId="77777777" w:rsidR="008F74FC" w:rsidRDefault="008F74FC" w:rsidP="008F74FC">
      <w:pPr>
        <w:pBdr>
          <w:top w:val="nil"/>
          <w:left w:val="nil"/>
          <w:bottom w:val="nil"/>
          <w:right w:val="nil"/>
          <w:between w:val="nil"/>
        </w:pBdr>
        <w:spacing w:after="0" w:line="240" w:lineRule="auto"/>
        <w:jc w:val="both"/>
        <w:rPr>
          <w:b/>
          <w:color w:val="000000"/>
          <w:sz w:val="28"/>
          <w:szCs w:val="28"/>
        </w:rPr>
      </w:pPr>
    </w:p>
    <w:p w14:paraId="603D321B" w14:textId="53CEA4E6" w:rsidR="008F74FC" w:rsidRPr="008F74FC" w:rsidRDefault="008F74FC" w:rsidP="008F74FC">
      <w:pPr>
        <w:pBdr>
          <w:top w:val="nil"/>
          <w:left w:val="nil"/>
          <w:bottom w:val="nil"/>
          <w:right w:val="nil"/>
          <w:between w:val="nil"/>
        </w:pBdr>
        <w:spacing w:after="0" w:line="240" w:lineRule="auto"/>
        <w:jc w:val="both"/>
        <w:rPr>
          <w:bCs/>
          <w:color w:val="000000"/>
        </w:rPr>
      </w:pPr>
      <w:r w:rsidRPr="008F74FC">
        <w:rPr>
          <w:bCs/>
          <w:color w:val="000000"/>
        </w:rPr>
        <w:t xml:space="preserve">The fees and charges </w:t>
      </w:r>
      <w:r w:rsidR="00596DFD">
        <w:rPr>
          <w:bCs/>
          <w:color w:val="000000"/>
        </w:rPr>
        <w:t xml:space="preserve">detailed below </w:t>
      </w:r>
      <w:r w:rsidRPr="008F74FC">
        <w:rPr>
          <w:bCs/>
          <w:color w:val="000000"/>
        </w:rPr>
        <w:t>will be implemented for the Academic Year commencing August 202</w:t>
      </w:r>
      <w:r w:rsidR="009F6E2F">
        <w:rPr>
          <w:bCs/>
          <w:color w:val="000000"/>
        </w:rPr>
        <w:t>4</w:t>
      </w:r>
      <w:r w:rsidRPr="008F74FC">
        <w:rPr>
          <w:bCs/>
          <w:color w:val="000000"/>
        </w:rPr>
        <w:t xml:space="preserve"> onwards</w:t>
      </w:r>
      <w:r w:rsidR="00596DFD">
        <w:rPr>
          <w:bCs/>
          <w:color w:val="000000"/>
        </w:rPr>
        <w:t>.</w:t>
      </w:r>
    </w:p>
    <w:p w14:paraId="45F60554" w14:textId="77777777" w:rsidR="008F74FC" w:rsidRDefault="008F74FC" w:rsidP="008F74FC">
      <w:pPr>
        <w:pBdr>
          <w:top w:val="nil"/>
          <w:left w:val="nil"/>
          <w:bottom w:val="nil"/>
          <w:right w:val="nil"/>
          <w:between w:val="nil"/>
        </w:pBdr>
        <w:spacing w:after="0" w:line="240" w:lineRule="auto"/>
        <w:jc w:val="both"/>
        <w:rPr>
          <w:b/>
          <w:color w:val="000000"/>
          <w:sz w:val="28"/>
          <w:szCs w:val="28"/>
        </w:rPr>
      </w:pPr>
    </w:p>
    <w:p w14:paraId="6003AF26" w14:textId="77777777" w:rsidR="002127C6" w:rsidRDefault="002127C6" w:rsidP="008F74FC">
      <w:pPr>
        <w:pBdr>
          <w:top w:val="nil"/>
          <w:left w:val="nil"/>
          <w:bottom w:val="nil"/>
          <w:right w:val="nil"/>
          <w:between w:val="nil"/>
        </w:pBdr>
        <w:spacing w:after="0" w:line="240" w:lineRule="auto"/>
        <w:jc w:val="both"/>
        <w:rPr>
          <w:b/>
          <w:color w:val="000000"/>
          <w:sz w:val="28"/>
          <w:szCs w:val="28"/>
        </w:rPr>
      </w:pPr>
    </w:p>
    <w:p w14:paraId="5D875284" w14:textId="77777777" w:rsidR="002127C6" w:rsidRDefault="002127C6" w:rsidP="008F74FC">
      <w:pPr>
        <w:pBdr>
          <w:top w:val="nil"/>
          <w:left w:val="nil"/>
          <w:bottom w:val="nil"/>
          <w:right w:val="nil"/>
          <w:between w:val="nil"/>
        </w:pBdr>
        <w:spacing w:after="0" w:line="240" w:lineRule="auto"/>
        <w:jc w:val="both"/>
        <w:rPr>
          <w:b/>
          <w:color w:val="000000"/>
          <w:sz w:val="28"/>
          <w:szCs w:val="28"/>
        </w:rPr>
      </w:pPr>
    </w:p>
    <w:p w14:paraId="7C4653E0" w14:textId="77777777" w:rsidR="00417F7A" w:rsidRDefault="00417F7A" w:rsidP="00417F7A">
      <w:pPr>
        <w:numPr>
          <w:ilvl w:val="0"/>
          <w:numId w:val="2"/>
        </w:numPr>
        <w:pBdr>
          <w:top w:val="nil"/>
          <w:left w:val="nil"/>
          <w:bottom w:val="nil"/>
          <w:right w:val="nil"/>
          <w:between w:val="nil"/>
        </w:pBdr>
        <w:spacing w:after="0" w:line="240" w:lineRule="auto"/>
        <w:ind w:left="426" w:hanging="426"/>
        <w:jc w:val="both"/>
        <w:rPr>
          <w:b/>
          <w:color w:val="000000"/>
          <w:sz w:val="28"/>
          <w:szCs w:val="28"/>
        </w:rPr>
      </w:pPr>
      <w:r>
        <w:rPr>
          <w:b/>
          <w:color w:val="000000"/>
          <w:sz w:val="28"/>
          <w:szCs w:val="28"/>
        </w:rPr>
        <w:lastRenderedPageBreak/>
        <w:t xml:space="preserve">Monitoring and Review </w:t>
      </w:r>
    </w:p>
    <w:p w14:paraId="37AA0BBF" w14:textId="77777777" w:rsidR="008F74FC" w:rsidRDefault="008F74FC" w:rsidP="008F74FC">
      <w:pPr>
        <w:pBdr>
          <w:top w:val="nil"/>
          <w:left w:val="nil"/>
          <w:bottom w:val="nil"/>
          <w:right w:val="nil"/>
          <w:between w:val="nil"/>
        </w:pBdr>
        <w:spacing w:after="0" w:line="240" w:lineRule="auto"/>
        <w:jc w:val="both"/>
        <w:rPr>
          <w:b/>
          <w:color w:val="000000"/>
          <w:sz w:val="28"/>
          <w:szCs w:val="28"/>
        </w:rPr>
      </w:pPr>
    </w:p>
    <w:p w14:paraId="3EBBDB04" w14:textId="77777777" w:rsidR="00257CBF" w:rsidRPr="00257CBF" w:rsidRDefault="00257CBF" w:rsidP="00257CBF">
      <w:pPr>
        <w:pBdr>
          <w:top w:val="nil"/>
          <w:left w:val="nil"/>
          <w:bottom w:val="nil"/>
          <w:right w:val="nil"/>
          <w:between w:val="nil"/>
        </w:pBdr>
        <w:spacing w:after="0" w:line="240" w:lineRule="auto"/>
        <w:jc w:val="both"/>
        <w:rPr>
          <w:bCs/>
          <w:color w:val="000000"/>
        </w:rPr>
      </w:pPr>
      <w:r w:rsidRPr="00257CBF">
        <w:rPr>
          <w:bCs/>
          <w:color w:val="000000"/>
        </w:rPr>
        <w:t xml:space="preserve">This policy is subject to annual review. Such review would normally take account of any changes </w:t>
      </w:r>
    </w:p>
    <w:p w14:paraId="47CE110E" w14:textId="77777777" w:rsidR="00257CBF" w:rsidRPr="00257CBF" w:rsidRDefault="00257CBF" w:rsidP="00257CBF">
      <w:pPr>
        <w:pBdr>
          <w:top w:val="nil"/>
          <w:left w:val="nil"/>
          <w:bottom w:val="nil"/>
          <w:right w:val="nil"/>
          <w:between w:val="nil"/>
        </w:pBdr>
        <w:spacing w:after="0" w:line="240" w:lineRule="auto"/>
        <w:jc w:val="both"/>
        <w:rPr>
          <w:bCs/>
          <w:color w:val="000000"/>
        </w:rPr>
      </w:pPr>
      <w:r w:rsidRPr="00257CBF">
        <w:rPr>
          <w:bCs/>
          <w:color w:val="000000"/>
        </w:rPr>
        <w:t xml:space="preserve">to government funding policies, changes in the college’s costs in providing programmes and </w:t>
      </w:r>
    </w:p>
    <w:p w14:paraId="16450928" w14:textId="47710F71" w:rsidR="008F74FC" w:rsidRDefault="00257CBF" w:rsidP="00257CBF">
      <w:pPr>
        <w:pBdr>
          <w:top w:val="nil"/>
          <w:left w:val="nil"/>
          <w:bottom w:val="nil"/>
          <w:right w:val="nil"/>
          <w:between w:val="nil"/>
        </w:pBdr>
        <w:spacing w:after="0" w:line="240" w:lineRule="auto"/>
        <w:jc w:val="both"/>
        <w:rPr>
          <w:bCs/>
          <w:color w:val="000000"/>
        </w:rPr>
      </w:pPr>
      <w:r w:rsidRPr="00257CBF">
        <w:rPr>
          <w:bCs/>
          <w:color w:val="000000"/>
        </w:rPr>
        <w:t>market conditions, as appropriate.</w:t>
      </w:r>
    </w:p>
    <w:p w14:paraId="3C1B948F" w14:textId="77777777" w:rsidR="00257CBF" w:rsidRPr="00257CBF" w:rsidRDefault="00257CBF" w:rsidP="00257CBF">
      <w:pPr>
        <w:pBdr>
          <w:top w:val="nil"/>
          <w:left w:val="nil"/>
          <w:bottom w:val="nil"/>
          <w:right w:val="nil"/>
          <w:between w:val="nil"/>
        </w:pBdr>
        <w:spacing w:after="0" w:line="240" w:lineRule="auto"/>
        <w:jc w:val="both"/>
        <w:rPr>
          <w:bCs/>
          <w:color w:val="000000"/>
        </w:rPr>
      </w:pPr>
    </w:p>
    <w:p w14:paraId="74CB1833" w14:textId="097F7CDC" w:rsidR="00B377C1" w:rsidRDefault="00417F7A" w:rsidP="00417F7A">
      <w:pPr>
        <w:numPr>
          <w:ilvl w:val="0"/>
          <w:numId w:val="2"/>
        </w:numPr>
        <w:pBdr>
          <w:top w:val="nil"/>
          <w:left w:val="nil"/>
          <w:bottom w:val="nil"/>
          <w:right w:val="nil"/>
          <w:between w:val="nil"/>
        </w:pBdr>
        <w:spacing w:after="0" w:line="240" w:lineRule="auto"/>
        <w:ind w:left="426" w:hanging="426"/>
        <w:jc w:val="both"/>
        <w:rPr>
          <w:b/>
          <w:color w:val="000000"/>
          <w:sz w:val="28"/>
          <w:szCs w:val="28"/>
        </w:rPr>
      </w:pPr>
      <w:r>
        <w:rPr>
          <w:b/>
          <w:color w:val="000000"/>
          <w:sz w:val="28"/>
          <w:szCs w:val="28"/>
        </w:rPr>
        <w:t xml:space="preserve">Supporting/Related Documents </w:t>
      </w:r>
      <w:r w:rsidR="00B377C1" w:rsidRPr="00417F7A">
        <w:rPr>
          <w:b/>
          <w:color w:val="000000"/>
          <w:sz w:val="28"/>
          <w:szCs w:val="28"/>
        </w:rPr>
        <w:t xml:space="preserve"> </w:t>
      </w:r>
    </w:p>
    <w:p w14:paraId="56539870" w14:textId="77777777" w:rsidR="007A1546" w:rsidRDefault="007A1546" w:rsidP="007A1546">
      <w:pPr>
        <w:pBdr>
          <w:top w:val="nil"/>
          <w:left w:val="nil"/>
          <w:bottom w:val="nil"/>
          <w:right w:val="nil"/>
          <w:between w:val="nil"/>
        </w:pBdr>
        <w:spacing w:after="0" w:line="240" w:lineRule="auto"/>
        <w:jc w:val="both"/>
        <w:rPr>
          <w:b/>
          <w:color w:val="000000"/>
          <w:sz w:val="28"/>
          <w:szCs w:val="28"/>
        </w:rPr>
      </w:pPr>
    </w:p>
    <w:p w14:paraId="4058F181" w14:textId="77777777" w:rsidR="007A1546" w:rsidRDefault="007A1546" w:rsidP="007A1546">
      <w:pPr>
        <w:pBdr>
          <w:top w:val="nil"/>
          <w:left w:val="nil"/>
          <w:bottom w:val="nil"/>
          <w:right w:val="nil"/>
          <w:between w:val="nil"/>
        </w:pBdr>
        <w:spacing w:after="0" w:line="240" w:lineRule="auto"/>
        <w:jc w:val="both"/>
        <w:rPr>
          <w:b/>
          <w:color w:val="000000"/>
          <w:sz w:val="28"/>
          <w:szCs w:val="28"/>
        </w:rPr>
      </w:pPr>
    </w:p>
    <w:p w14:paraId="308D03DB" w14:textId="16F3CA6B" w:rsidR="007A1546" w:rsidRDefault="007A1546" w:rsidP="007A1546">
      <w:pPr>
        <w:pBdr>
          <w:top w:val="nil"/>
          <w:left w:val="nil"/>
          <w:bottom w:val="nil"/>
          <w:right w:val="nil"/>
          <w:between w:val="nil"/>
        </w:pBdr>
        <w:spacing w:after="0" w:line="240" w:lineRule="auto"/>
        <w:jc w:val="both"/>
      </w:pPr>
      <w:r>
        <w:t>The college sets its fees in conjunction with devising its APP. The Regulatory guidance on this can be found here:</w:t>
      </w:r>
      <w:r w:rsidR="007F2BAB">
        <w:t xml:space="preserve"> </w:t>
      </w:r>
    </w:p>
    <w:p w14:paraId="6C19FAB2" w14:textId="3DB11BE1" w:rsidR="00954727" w:rsidRDefault="00000000" w:rsidP="007A1546">
      <w:pPr>
        <w:pBdr>
          <w:top w:val="nil"/>
          <w:left w:val="nil"/>
          <w:bottom w:val="nil"/>
          <w:right w:val="nil"/>
          <w:between w:val="nil"/>
        </w:pBdr>
        <w:spacing w:after="0" w:line="240" w:lineRule="auto"/>
        <w:jc w:val="both"/>
      </w:pPr>
      <w:hyperlink r:id="rId16" w:history="1">
        <w:r w:rsidR="00954727">
          <w:rPr>
            <w:rStyle w:val="Hyperlink"/>
          </w:rPr>
          <w:t>Access and participation plans - Office for Students</w:t>
        </w:r>
      </w:hyperlink>
    </w:p>
    <w:p w14:paraId="39683033" w14:textId="77777777" w:rsidR="007A1546" w:rsidRDefault="007A1546" w:rsidP="007A1546">
      <w:pPr>
        <w:pBdr>
          <w:top w:val="nil"/>
          <w:left w:val="nil"/>
          <w:bottom w:val="nil"/>
          <w:right w:val="nil"/>
          <w:between w:val="nil"/>
        </w:pBdr>
        <w:spacing w:after="0" w:line="240" w:lineRule="auto"/>
        <w:jc w:val="both"/>
      </w:pPr>
    </w:p>
    <w:p w14:paraId="4BCEAEB0" w14:textId="4B4ED2D2" w:rsidR="007A1546" w:rsidRDefault="007A1546" w:rsidP="007A1546">
      <w:pPr>
        <w:pBdr>
          <w:top w:val="nil"/>
          <w:left w:val="nil"/>
          <w:bottom w:val="nil"/>
          <w:right w:val="nil"/>
          <w:between w:val="nil"/>
        </w:pBdr>
        <w:spacing w:after="0" w:line="240" w:lineRule="auto"/>
        <w:jc w:val="both"/>
      </w:pPr>
      <w:r>
        <w:t xml:space="preserve">The OFS issues annual guidance on confirming fees and the current guidance can be found here: </w:t>
      </w:r>
    </w:p>
    <w:p w14:paraId="016FE4E8" w14:textId="7A4D2478" w:rsidR="002127C6" w:rsidRDefault="00000000" w:rsidP="007A1546">
      <w:pPr>
        <w:pBdr>
          <w:top w:val="nil"/>
          <w:left w:val="nil"/>
          <w:bottom w:val="nil"/>
          <w:right w:val="nil"/>
          <w:between w:val="nil"/>
        </w:pBdr>
        <w:spacing w:after="0" w:line="240" w:lineRule="auto"/>
        <w:jc w:val="both"/>
      </w:pPr>
      <w:hyperlink r:id="rId17" w:history="1">
        <w:r w:rsidR="002127C6">
          <w:rPr>
            <w:rStyle w:val="Hyperlink"/>
          </w:rPr>
          <w:t>Annual fee information collection guidance - Office for Students</w:t>
        </w:r>
      </w:hyperlink>
    </w:p>
    <w:p w14:paraId="3B09DB08" w14:textId="77777777" w:rsidR="007A1546" w:rsidRDefault="007A1546" w:rsidP="007A1546">
      <w:pPr>
        <w:pBdr>
          <w:top w:val="nil"/>
          <w:left w:val="nil"/>
          <w:bottom w:val="nil"/>
          <w:right w:val="nil"/>
          <w:between w:val="nil"/>
        </w:pBdr>
        <w:spacing w:after="0" w:line="240" w:lineRule="auto"/>
        <w:jc w:val="both"/>
      </w:pPr>
    </w:p>
    <w:p w14:paraId="7151E104" w14:textId="77777777" w:rsidR="00F664AB" w:rsidRPr="00F664AB" w:rsidRDefault="007A1546" w:rsidP="007A1546">
      <w:pPr>
        <w:pBdr>
          <w:top w:val="nil"/>
          <w:left w:val="nil"/>
          <w:bottom w:val="nil"/>
          <w:right w:val="nil"/>
          <w:between w:val="nil"/>
        </w:pBdr>
        <w:spacing w:after="0" w:line="240" w:lineRule="auto"/>
        <w:jc w:val="both"/>
        <w:rPr>
          <w:b/>
          <w:bCs/>
        </w:rPr>
      </w:pPr>
      <w:r w:rsidRPr="00F664AB">
        <w:rPr>
          <w:b/>
          <w:bCs/>
        </w:rPr>
        <w:t xml:space="preserve">Internal policy documents </w:t>
      </w:r>
    </w:p>
    <w:p w14:paraId="402D519A" w14:textId="77777777" w:rsidR="00F664AB" w:rsidRDefault="007A1546" w:rsidP="00F664AB">
      <w:pPr>
        <w:pStyle w:val="ListParagraph"/>
        <w:numPr>
          <w:ilvl w:val="0"/>
          <w:numId w:val="5"/>
        </w:numPr>
        <w:pBdr>
          <w:top w:val="nil"/>
          <w:left w:val="nil"/>
          <w:bottom w:val="nil"/>
          <w:right w:val="nil"/>
          <w:between w:val="nil"/>
        </w:pBdr>
        <w:spacing w:after="0" w:line="240" w:lineRule="auto"/>
        <w:jc w:val="both"/>
      </w:pPr>
      <w:r>
        <w:t xml:space="preserve">Financial Regulations </w:t>
      </w:r>
    </w:p>
    <w:p w14:paraId="79EC5EE2" w14:textId="7CEC27AF" w:rsidR="007A1546" w:rsidRPr="00A07124" w:rsidRDefault="007A1546" w:rsidP="007A1546">
      <w:pPr>
        <w:pStyle w:val="ListParagraph"/>
        <w:numPr>
          <w:ilvl w:val="0"/>
          <w:numId w:val="5"/>
        </w:numPr>
        <w:pBdr>
          <w:top w:val="nil"/>
          <w:left w:val="nil"/>
          <w:bottom w:val="nil"/>
          <w:right w:val="nil"/>
          <w:between w:val="nil"/>
        </w:pBdr>
        <w:spacing w:after="0" w:line="240" w:lineRule="auto"/>
        <w:jc w:val="both"/>
      </w:pPr>
      <w:r>
        <w:t>Subcontracting Fee</w:t>
      </w:r>
      <w:r w:rsidR="00F664AB">
        <w:t>s and</w:t>
      </w:r>
      <w:r>
        <w:t xml:space="preserve"> Charges Polic</w:t>
      </w:r>
      <w:r w:rsidR="00637EBF">
        <w:t>y</w:t>
      </w:r>
    </w:p>
    <w:p w14:paraId="4F4847E9" w14:textId="77777777" w:rsidR="007A1546" w:rsidRDefault="007A1546" w:rsidP="007A1546">
      <w:pPr>
        <w:pBdr>
          <w:top w:val="nil"/>
          <w:left w:val="nil"/>
          <w:bottom w:val="nil"/>
          <w:right w:val="nil"/>
          <w:between w:val="nil"/>
        </w:pBdr>
        <w:spacing w:after="0" w:line="240" w:lineRule="auto"/>
        <w:jc w:val="both"/>
        <w:rPr>
          <w:b/>
          <w:color w:val="000000"/>
          <w:sz w:val="28"/>
          <w:szCs w:val="28"/>
        </w:rPr>
      </w:pPr>
    </w:p>
    <w:p w14:paraId="6E028F09" w14:textId="77777777" w:rsidR="00DF669D" w:rsidRDefault="007A1546" w:rsidP="00417F7A">
      <w:pPr>
        <w:numPr>
          <w:ilvl w:val="0"/>
          <w:numId w:val="2"/>
        </w:numPr>
        <w:pBdr>
          <w:top w:val="nil"/>
          <w:left w:val="nil"/>
          <w:bottom w:val="nil"/>
          <w:right w:val="nil"/>
          <w:between w:val="nil"/>
        </w:pBdr>
        <w:spacing w:after="0" w:line="240" w:lineRule="auto"/>
        <w:ind w:left="426" w:hanging="426"/>
        <w:jc w:val="both"/>
        <w:rPr>
          <w:b/>
          <w:color w:val="000000"/>
          <w:sz w:val="28"/>
          <w:szCs w:val="28"/>
        </w:rPr>
      </w:pPr>
      <w:r>
        <w:rPr>
          <w:b/>
          <w:color w:val="000000"/>
          <w:sz w:val="28"/>
          <w:szCs w:val="28"/>
        </w:rPr>
        <w:t>Regulations</w:t>
      </w:r>
    </w:p>
    <w:p w14:paraId="12AF1AE8" w14:textId="77777777" w:rsidR="00DF669D" w:rsidRDefault="00DF669D" w:rsidP="00DF669D">
      <w:pPr>
        <w:pBdr>
          <w:top w:val="nil"/>
          <w:left w:val="nil"/>
          <w:bottom w:val="nil"/>
          <w:right w:val="nil"/>
          <w:between w:val="nil"/>
        </w:pBdr>
        <w:spacing w:after="0" w:line="240" w:lineRule="auto"/>
        <w:ind w:left="426"/>
        <w:jc w:val="both"/>
        <w:rPr>
          <w:b/>
          <w:color w:val="000000"/>
          <w:sz w:val="28"/>
          <w:szCs w:val="28"/>
        </w:rPr>
      </w:pPr>
    </w:p>
    <w:p w14:paraId="5515E9D9" w14:textId="0C00CD9D" w:rsidR="007A1546" w:rsidRPr="0066129B" w:rsidRDefault="00DF669D" w:rsidP="00271AA4">
      <w:pPr>
        <w:numPr>
          <w:ilvl w:val="1"/>
          <w:numId w:val="2"/>
        </w:numPr>
        <w:pBdr>
          <w:top w:val="nil"/>
          <w:left w:val="nil"/>
          <w:bottom w:val="nil"/>
          <w:right w:val="nil"/>
          <w:between w:val="nil"/>
        </w:pBdr>
        <w:spacing w:after="0" w:line="240" w:lineRule="auto"/>
        <w:jc w:val="both"/>
        <w:rPr>
          <w:b/>
          <w:color w:val="000000"/>
        </w:rPr>
      </w:pPr>
      <w:r w:rsidRPr="00DF669D">
        <w:rPr>
          <w:b/>
          <w:color w:val="000000"/>
        </w:rPr>
        <w:t>Tuition Fees</w:t>
      </w:r>
      <w:bookmarkStart w:id="0" w:name="_Hlk175910859"/>
    </w:p>
    <w:bookmarkEnd w:id="0"/>
    <w:p w14:paraId="08CCBCA4" w14:textId="77777777" w:rsidR="00DF669D" w:rsidRDefault="00DF669D" w:rsidP="00DF669D">
      <w:pPr>
        <w:pBdr>
          <w:top w:val="nil"/>
          <w:left w:val="nil"/>
          <w:bottom w:val="nil"/>
          <w:right w:val="nil"/>
          <w:between w:val="nil"/>
        </w:pBdr>
        <w:spacing w:after="0" w:line="240" w:lineRule="auto"/>
        <w:jc w:val="both"/>
        <w:rPr>
          <w:b/>
          <w:color w:val="000000"/>
        </w:rPr>
      </w:pPr>
    </w:p>
    <w:p w14:paraId="04F3E3D4" w14:textId="77777777" w:rsidR="00257962" w:rsidRPr="00257962" w:rsidRDefault="00257962" w:rsidP="00257962">
      <w:pPr>
        <w:pBdr>
          <w:top w:val="nil"/>
          <w:left w:val="nil"/>
          <w:bottom w:val="nil"/>
          <w:right w:val="nil"/>
          <w:between w:val="nil"/>
        </w:pBdr>
        <w:spacing w:after="0" w:line="240" w:lineRule="auto"/>
        <w:jc w:val="both"/>
        <w:rPr>
          <w:bCs/>
          <w:color w:val="000000"/>
        </w:rPr>
      </w:pPr>
      <w:r w:rsidRPr="00257962">
        <w:rPr>
          <w:bCs/>
          <w:color w:val="000000"/>
        </w:rPr>
        <w:t xml:space="preserve">The college reviews the tuition fees on an annual basis. HE Fees are in this policy (rather than </w:t>
      </w:r>
    </w:p>
    <w:p w14:paraId="1B77EB99" w14:textId="77777777" w:rsidR="00257962" w:rsidRPr="00257962" w:rsidRDefault="00257962" w:rsidP="00257962">
      <w:pPr>
        <w:pBdr>
          <w:top w:val="nil"/>
          <w:left w:val="nil"/>
          <w:bottom w:val="nil"/>
          <w:right w:val="nil"/>
          <w:between w:val="nil"/>
        </w:pBdr>
        <w:spacing w:after="0" w:line="240" w:lineRule="auto"/>
        <w:jc w:val="both"/>
        <w:rPr>
          <w:bCs/>
          <w:color w:val="000000"/>
        </w:rPr>
      </w:pPr>
      <w:r w:rsidRPr="00257962">
        <w:rPr>
          <w:bCs/>
          <w:color w:val="000000"/>
        </w:rPr>
        <w:t xml:space="preserve">the college’s general Tuition Fees Policy) because they are set in line with Office for Students </w:t>
      </w:r>
    </w:p>
    <w:p w14:paraId="62960D2B" w14:textId="77777777" w:rsidR="00257962" w:rsidRPr="00257962" w:rsidRDefault="00257962" w:rsidP="00257962">
      <w:pPr>
        <w:pBdr>
          <w:top w:val="nil"/>
          <w:left w:val="nil"/>
          <w:bottom w:val="nil"/>
          <w:right w:val="nil"/>
          <w:between w:val="nil"/>
        </w:pBdr>
        <w:spacing w:after="0" w:line="240" w:lineRule="auto"/>
        <w:jc w:val="both"/>
        <w:rPr>
          <w:bCs/>
          <w:color w:val="000000"/>
        </w:rPr>
      </w:pPr>
      <w:r w:rsidRPr="00257962">
        <w:rPr>
          <w:bCs/>
          <w:color w:val="000000"/>
        </w:rPr>
        <w:t xml:space="preserve">guidelines, the Access and Participation Plan, the Teaching Excellence Framework. The fees </w:t>
      </w:r>
    </w:p>
    <w:p w14:paraId="31841A7E" w14:textId="77777777" w:rsidR="00257962" w:rsidRPr="00257962" w:rsidRDefault="00257962" w:rsidP="00257962">
      <w:pPr>
        <w:pBdr>
          <w:top w:val="nil"/>
          <w:left w:val="nil"/>
          <w:bottom w:val="nil"/>
          <w:right w:val="nil"/>
          <w:between w:val="nil"/>
        </w:pBdr>
        <w:spacing w:after="0" w:line="240" w:lineRule="auto"/>
        <w:jc w:val="both"/>
        <w:rPr>
          <w:bCs/>
          <w:color w:val="000000"/>
        </w:rPr>
      </w:pPr>
      <w:r w:rsidRPr="00257962">
        <w:rPr>
          <w:bCs/>
          <w:color w:val="000000"/>
        </w:rPr>
        <w:t xml:space="preserve">are also set with due regard for financial viability, and market forces. The fees for students </w:t>
      </w:r>
    </w:p>
    <w:p w14:paraId="16666F60" w14:textId="34A69FF8" w:rsidR="00DF669D" w:rsidRPr="00257962" w:rsidRDefault="00257962" w:rsidP="00257962">
      <w:pPr>
        <w:pBdr>
          <w:top w:val="nil"/>
          <w:left w:val="nil"/>
          <w:bottom w:val="nil"/>
          <w:right w:val="nil"/>
          <w:between w:val="nil"/>
        </w:pBdr>
        <w:spacing w:after="0" w:line="240" w:lineRule="auto"/>
        <w:jc w:val="both"/>
        <w:rPr>
          <w:bCs/>
          <w:color w:val="000000"/>
        </w:rPr>
      </w:pPr>
      <w:r w:rsidRPr="00257962">
        <w:rPr>
          <w:bCs/>
          <w:color w:val="000000"/>
        </w:rPr>
        <w:t>starting a new HE course in 202</w:t>
      </w:r>
      <w:r w:rsidR="002E006B">
        <w:rPr>
          <w:bCs/>
          <w:color w:val="000000"/>
        </w:rPr>
        <w:t>4</w:t>
      </w:r>
      <w:r w:rsidRPr="00257962">
        <w:rPr>
          <w:bCs/>
          <w:color w:val="000000"/>
        </w:rPr>
        <w:t>-202</w:t>
      </w:r>
      <w:r w:rsidR="002E006B">
        <w:rPr>
          <w:bCs/>
          <w:color w:val="000000"/>
        </w:rPr>
        <w:t>5</w:t>
      </w:r>
      <w:r w:rsidRPr="00257962">
        <w:rPr>
          <w:bCs/>
          <w:color w:val="000000"/>
        </w:rPr>
        <w:t xml:space="preserve"> and 202</w:t>
      </w:r>
      <w:r w:rsidR="002E006B">
        <w:rPr>
          <w:bCs/>
          <w:color w:val="000000"/>
        </w:rPr>
        <w:t>5</w:t>
      </w:r>
      <w:r w:rsidRPr="00257962">
        <w:rPr>
          <w:bCs/>
          <w:color w:val="000000"/>
        </w:rPr>
        <w:t>-202</w:t>
      </w:r>
      <w:r w:rsidR="002E006B">
        <w:rPr>
          <w:bCs/>
          <w:color w:val="000000"/>
        </w:rPr>
        <w:t>6</w:t>
      </w:r>
      <w:r w:rsidRPr="00257962">
        <w:rPr>
          <w:bCs/>
          <w:color w:val="000000"/>
        </w:rPr>
        <w:t xml:space="preserve"> are as follows:</w:t>
      </w:r>
    </w:p>
    <w:p w14:paraId="0804F117" w14:textId="77777777" w:rsidR="0016532D" w:rsidRDefault="0016532D" w:rsidP="0016532D">
      <w:pPr>
        <w:pBdr>
          <w:top w:val="nil"/>
          <w:left w:val="nil"/>
          <w:bottom w:val="nil"/>
          <w:right w:val="nil"/>
          <w:between w:val="nil"/>
        </w:pBdr>
        <w:spacing w:after="0" w:line="240" w:lineRule="auto"/>
        <w:jc w:val="both"/>
        <w:rPr>
          <w:b/>
          <w:color w:val="000000"/>
          <w:sz w:val="28"/>
          <w:szCs w:val="28"/>
        </w:rPr>
      </w:pPr>
    </w:p>
    <w:tbl>
      <w:tblPr>
        <w:tblStyle w:val="TableGrid"/>
        <w:tblW w:w="0" w:type="auto"/>
        <w:tblLook w:val="04A0" w:firstRow="1" w:lastRow="0" w:firstColumn="1" w:lastColumn="0" w:noHBand="0" w:noVBand="1"/>
      </w:tblPr>
      <w:tblGrid>
        <w:gridCol w:w="2405"/>
        <w:gridCol w:w="2103"/>
        <w:gridCol w:w="2254"/>
        <w:gridCol w:w="2254"/>
      </w:tblGrid>
      <w:tr w:rsidR="00874181" w14:paraId="49833E5A" w14:textId="77777777" w:rsidTr="00954727">
        <w:tc>
          <w:tcPr>
            <w:tcW w:w="2405" w:type="dxa"/>
            <w:shd w:val="clear" w:color="auto" w:fill="D9D9D9" w:themeFill="background1" w:themeFillShade="D9"/>
          </w:tcPr>
          <w:p w14:paraId="06EF64E9" w14:textId="3BD09AF8" w:rsidR="00874181" w:rsidRPr="00486CD6" w:rsidRDefault="00874181" w:rsidP="0016532D">
            <w:pPr>
              <w:jc w:val="both"/>
              <w:rPr>
                <w:b/>
                <w:color w:val="000000"/>
              </w:rPr>
            </w:pPr>
            <w:r w:rsidRPr="00486CD6">
              <w:rPr>
                <w:b/>
                <w:color w:val="000000"/>
              </w:rPr>
              <w:t xml:space="preserve">Award </w:t>
            </w:r>
          </w:p>
        </w:tc>
        <w:tc>
          <w:tcPr>
            <w:tcW w:w="2103" w:type="dxa"/>
            <w:shd w:val="clear" w:color="auto" w:fill="D9D9D9" w:themeFill="background1" w:themeFillShade="D9"/>
          </w:tcPr>
          <w:p w14:paraId="28FEE070" w14:textId="52DC18B7" w:rsidR="00874181" w:rsidRPr="00486CD6" w:rsidRDefault="00874181" w:rsidP="0016532D">
            <w:pPr>
              <w:jc w:val="both"/>
              <w:rPr>
                <w:b/>
                <w:color w:val="000000"/>
              </w:rPr>
            </w:pPr>
            <w:r w:rsidRPr="00486CD6">
              <w:rPr>
                <w:b/>
                <w:color w:val="000000"/>
              </w:rPr>
              <w:t>Mode</w:t>
            </w:r>
          </w:p>
        </w:tc>
        <w:tc>
          <w:tcPr>
            <w:tcW w:w="2254" w:type="dxa"/>
            <w:shd w:val="clear" w:color="auto" w:fill="D9D9D9" w:themeFill="background1" w:themeFillShade="D9"/>
          </w:tcPr>
          <w:p w14:paraId="54F4FF74" w14:textId="40091D76" w:rsidR="00874181" w:rsidRPr="00486CD6" w:rsidRDefault="00874181" w:rsidP="0016532D">
            <w:pPr>
              <w:jc w:val="both"/>
              <w:rPr>
                <w:b/>
                <w:color w:val="000000"/>
              </w:rPr>
            </w:pPr>
            <w:r w:rsidRPr="00486CD6">
              <w:rPr>
                <w:b/>
                <w:color w:val="000000"/>
              </w:rPr>
              <w:t>202</w:t>
            </w:r>
            <w:r w:rsidR="00954727">
              <w:rPr>
                <w:b/>
                <w:color w:val="000000"/>
              </w:rPr>
              <w:t>5</w:t>
            </w:r>
            <w:r w:rsidRPr="00486CD6">
              <w:rPr>
                <w:b/>
                <w:color w:val="000000"/>
              </w:rPr>
              <w:t>/2</w:t>
            </w:r>
            <w:r w:rsidR="00954727">
              <w:rPr>
                <w:b/>
                <w:color w:val="000000"/>
              </w:rPr>
              <w:t>6</w:t>
            </w:r>
            <w:r w:rsidRPr="00486CD6">
              <w:rPr>
                <w:b/>
                <w:color w:val="000000"/>
              </w:rPr>
              <w:t xml:space="preserve"> tuition fees per annum</w:t>
            </w:r>
          </w:p>
        </w:tc>
        <w:tc>
          <w:tcPr>
            <w:tcW w:w="2254" w:type="dxa"/>
            <w:shd w:val="clear" w:color="auto" w:fill="D9D9D9" w:themeFill="background1" w:themeFillShade="D9"/>
          </w:tcPr>
          <w:p w14:paraId="55F8EC04" w14:textId="71A7950D" w:rsidR="00874181" w:rsidRPr="00486CD6" w:rsidRDefault="00874181" w:rsidP="0016532D">
            <w:pPr>
              <w:jc w:val="both"/>
              <w:rPr>
                <w:b/>
                <w:color w:val="000000"/>
              </w:rPr>
            </w:pPr>
            <w:r w:rsidRPr="00486CD6">
              <w:rPr>
                <w:b/>
                <w:color w:val="000000"/>
              </w:rPr>
              <w:t>202</w:t>
            </w:r>
            <w:r w:rsidR="00954727">
              <w:rPr>
                <w:b/>
                <w:color w:val="000000"/>
              </w:rPr>
              <w:t>4</w:t>
            </w:r>
            <w:r w:rsidRPr="00486CD6">
              <w:rPr>
                <w:b/>
                <w:color w:val="000000"/>
              </w:rPr>
              <w:t>/2</w:t>
            </w:r>
            <w:r w:rsidR="00954727">
              <w:rPr>
                <w:b/>
                <w:color w:val="000000"/>
              </w:rPr>
              <w:t>5</w:t>
            </w:r>
            <w:r w:rsidRPr="00486CD6">
              <w:rPr>
                <w:b/>
                <w:color w:val="000000"/>
              </w:rPr>
              <w:t xml:space="preserve"> tuition fees per annum</w:t>
            </w:r>
          </w:p>
        </w:tc>
      </w:tr>
      <w:tr w:rsidR="00954727" w14:paraId="4ACE59A2" w14:textId="77777777" w:rsidTr="00954727">
        <w:tc>
          <w:tcPr>
            <w:tcW w:w="2405" w:type="dxa"/>
          </w:tcPr>
          <w:p w14:paraId="4AFBE7EC" w14:textId="2B4EC07B" w:rsidR="00954727" w:rsidRPr="00486CD6" w:rsidRDefault="00954727" w:rsidP="00954727">
            <w:pPr>
              <w:jc w:val="both"/>
              <w:rPr>
                <w:b/>
                <w:color w:val="000000"/>
              </w:rPr>
            </w:pPr>
            <w:r w:rsidRPr="00486CD6">
              <w:rPr>
                <w:b/>
                <w:color w:val="000000"/>
              </w:rPr>
              <w:t>BA top up</w:t>
            </w:r>
          </w:p>
        </w:tc>
        <w:tc>
          <w:tcPr>
            <w:tcW w:w="2103" w:type="dxa"/>
          </w:tcPr>
          <w:p w14:paraId="3CFD31C9" w14:textId="472A978A" w:rsidR="00954727" w:rsidRPr="00486CD6" w:rsidRDefault="00954727" w:rsidP="00954727">
            <w:pPr>
              <w:jc w:val="both"/>
              <w:rPr>
                <w:bCs/>
                <w:color w:val="000000"/>
              </w:rPr>
            </w:pPr>
            <w:r w:rsidRPr="00486CD6">
              <w:rPr>
                <w:bCs/>
                <w:color w:val="000000"/>
              </w:rPr>
              <w:t>Full time (1 year)</w:t>
            </w:r>
          </w:p>
        </w:tc>
        <w:tc>
          <w:tcPr>
            <w:tcW w:w="2254" w:type="dxa"/>
          </w:tcPr>
          <w:p w14:paraId="586BB8D2" w14:textId="5BEF95E8" w:rsidR="00954727" w:rsidRPr="00486CD6" w:rsidRDefault="00954727" w:rsidP="00954727">
            <w:pPr>
              <w:jc w:val="both"/>
              <w:rPr>
                <w:bCs/>
                <w:color w:val="000000"/>
              </w:rPr>
            </w:pPr>
            <w:r w:rsidRPr="00486CD6">
              <w:rPr>
                <w:bCs/>
                <w:color w:val="000000"/>
              </w:rPr>
              <w:t>£7,950</w:t>
            </w:r>
          </w:p>
        </w:tc>
        <w:tc>
          <w:tcPr>
            <w:tcW w:w="2254" w:type="dxa"/>
          </w:tcPr>
          <w:p w14:paraId="379E3119" w14:textId="260D0A90" w:rsidR="00954727" w:rsidRPr="00486CD6" w:rsidRDefault="00954727" w:rsidP="00954727">
            <w:pPr>
              <w:jc w:val="both"/>
              <w:rPr>
                <w:bCs/>
                <w:color w:val="000000"/>
              </w:rPr>
            </w:pPr>
            <w:r w:rsidRPr="00486CD6">
              <w:rPr>
                <w:bCs/>
                <w:color w:val="000000"/>
              </w:rPr>
              <w:t>£7,950</w:t>
            </w:r>
          </w:p>
        </w:tc>
      </w:tr>
      <w:tr w:rsidR="00954727" w14:paraId="022EC3D7" w14:textId="77777777" w:rsidTr="00954727">
        <w:trPr>
          <w:trHeight w:val="345"/>
        </w:trPr>
        <w:tc>
          <w:tcPr>
            <w:tcW w:w="2405" w:type="dxa"/>
            <w:vMerge w:val="restart"/>
          </w:tcPr>
          <w:p w14:paraId="6951759D" w14:textId="4F54E320" w:rsidR="00954727" w:rsidRPr="00486CD6" w:rsidRDefault="00954727" w:rsidP="00954727">
            <w:pPr>
              <w:rPr>
                <w:b/>
                <w:color w:val="000000"/>
              </w:rPr>
            </w:pPr>
            <w:r w:rsidRPr="00486CD6">
              <w:rPr>
                <w:b/>
                <w:color w:val="000000"/>
              </w:rPr>
              <w:t>Foundation Degrees</w:t>
            </w:r>
          </w:p>
        </w:tc>
        <w:tc>
          <w:tcPr>
            <w:tcW w:w="2103" w:type="dxa"/>
          </w:tcPr>
          <w:p w14:paraId="7519F919" w14:textId="115EB6E7" w:rsidR="00954727" w:rsidRPr="00486CD6" w:rsidRDefault="00954727" w:rsidP="00954727">
            <w:pPr>
              <w:jc w:val="both"/>
              <w:rPr>
                <w:bCs/>
                <w:color w:val="000000"/>
              </w:rPr>
            </w:pPr>
            <w:r w:rsidRPr="00486CD6">
              <w:rPr>
                <w:bCs/>
                <w:color w:val="000000"/>
              </w:rPr>
              <w:t>Full time (2 years)</w:t>
            </w:r>
          </w:p>
        </w:tc>
        <w:tc>
          <w:tcPr>
            <w:tcW w:w="2254" w:type="dxa"/>
          </w:tcPr>
          <w:p w14:paraId="007637F6" w14:textId="681D58E4" w:rsidR="00954727" w:rsidRPr="00486CD6" w:rsidRDefault="00954727" w:rsidP="00954727">
            <w:pPr>
              <w:jc w:val="both"/>
              <w:rPr>
                <w:bCs/>
                <w:color w:val="000000"/>
              </w:rPr>
            </w:pPr>
            <w:r w:rsidRPr="00486CD6">
              <w:rPr>
                <w:bCs/>
                <w:color w:val="000000"/>
              </w:rPr>
              <w:t>£7,950</w:t>
            </w:r>
          </w:p>
        </w:tc>
        <w:tc>
          <w:tcPr>
            <w:tcW w:w="2254" w:type="dxa"/>
          </w:tcPr>
          <w:p w14:paraId="524D7FDB" w14:textId="08EC40D4" w:rsidR="00954727" w:rsidRPr="00486CD6" w:rsidRDefault="00954727" w:rsidP="00954727">
            <w:pPr>
              <w:jc w:val="both"/>
              <w:rPr>
                <w:bCs/>
                <w:color w:val="000000"/>
              </w:rPr>
            </w:pPr>
            <w:r w:rsidRPr="00486CD6">
              <w:rPr>
                <w:bCs/>
                <w:color w:val="000000"/>
              </w:rPr>
              <w:t>£7,950</w:t>
            </w:r>
          </w:p>
        </w:tc>
      </w:tr>
      <w:tr w:rsidR="00954727" w14:paraId="3207054A" w14:textId="77777777" w:rsidTr="00954727">
        <w:trPr>
          <w:trHeight w:val="345"/>
        </w:trPr>
        <w:tc>
          <w:tcPr>
            <w:tcW w:w="2405" w:type="dxa"/>
            <w:vMerge/>
          </w:tcPr>
          <w:p w14:paraId="6EF08A94" w14:textId="77777777" w:rsidR="00954727" w:rsidRPr="00486CD6" w:rsidRDefault="00954727" w:rsidP="00954727">
            <w:pPr>
              <w:rPr>
                <w:b/>
                <w:color w:val="000000"/>
              </w:rPr>
            </w:pPr>
          </w:p>
        </w:tc>
        <w:tc>
          <w:tcPr>
            <w:tcW w:w="2103" w:type="dxa"/>
          </w:tcPr>
          <w:p w14:paraId="1D014C4D" w14:textId="73E2BE67" w:rsidR="00954727" w:rsidRPr="00486CD6" w:rsidRDefault="00954727" w:rsidP="00954727">
            <w:pPr>
              <w:jc w:val="both"/>
              <w:rPr>
                <w:bCs/>
                <w:color w:val="000000"/>
              </w:rPr>
            </w:pPr>
            <w:r w:rsidRPr="00486CD6">
              <w:rPr>
                <w:bCs/>
                <w:color w:val="000000"/>
              </w:rPr>
              <w:t>Part time (3 years)</w:t>
            </w:r>
          </w:p>
        </w:tc>
        <w:tc>
          <w:tcPr>
            <w:tcW w:w="2254" w:type="dxa"/>
          </w:tcPr>
          <w:p w14:paraId="55D8D540" w14:textId="26E92DA3" w:rsidR="00954727" w:rsidRPr="00486CD6" w:rsidRDefault="00954727" w:rsidP="00954727">
            <w:pPr>
              <w:jc w:val="both"/>
              <w:rPr>
                <w:bCs/>
                <w:color w:val="000000"/>
              </w:rPr>
            </w:pPr>
            <w:r w:rsidRPr="00486CD6">
              <w:rPr>
                <w:bCs/>
                <w:color w:val="000000"/>
              </w:rPr>
              <w:t>£5,300</w:t>
            </w:r>
          </w:p>
        </w:tc>
        <w:tc>
          <w:tcPr>
            <w:tcW w:w="2254" w:type="dxa"/>
          </w:tcPr>
          <w:p w14:paraId="7A79E9B0" w14:textId="3F9F196A" w:rsidR="00954727" w:rsidRPr="00486CD6" w:rsidRDefault="00954727" w:rsidP="00954727">
            <w:pPr>
              <w:jc w:val="both"/>
              <w:rPr>
                <w:bCs/>
                <w:color w:val="000000"/>
              </w:rPr>
            </w:pPr>
            <w:r w:rsidRPr="00486CD6">
              <w:rPr>
                <w:bCs/>
                <w:color w:val="000000"/>
              </w:rPr>
              <w:t>£5,300</w:t>
            </w:r>
          </w:p>
        </w:tc>
      </w:tr>
      <w:tr w:rsidR="00954727" w14:paraId="45D6CBAA" w14:textId="77777777" w:rsidTr="00954727">
        <w:trPr>
          <w:trHeight w:val="115"/>
        </w:trPr>
        <w:tc>
          <w:tcPr>
            <w:tcW w:w="2405" w:type="dxa"/>
            <w:vMerge w:val="restart"/>
          </w:tcPr>
          <w:p w14:paraId="571BAE6D" w14:textId="51649E59" w:rsidR="00954727" w:rsidRPr="00486CD6" w:rsidRDefault="00954727" w:rsidP="00954727">
            <w:pPr>
              <w:jc w:val="both"/>
              <w:rPr>
                <w:b/>
                <w:color w:val="000000"/>
              </w:rPr>
            </w:pPr>
            <w:r w:rsidRPr="00486CD6">
              <w:rPr>
                <w:b/>
                <w:color w:val="000000"/>
              </w:rPr>
              <w:t>HND</w:t>
            </w:r>
          </w:p>
        </w:tc>
        <w:tc>
          <w:tcPr>
            <w:tcW w:w="2103" w:type="dxa"/>
          </w:tcPr>
          <w:p w14:paraId="5BFF6297" w14:textId="17E9B678" w:rsidR="00954727" w:rsidRPr="00486CD6" w:rsidRDefault="00954727" w:rsidP="00954727">
            <w:pPr>
              <w:jc w:val="both"/>
              <w:rPr>
                <w:bCs/>
                <w:color w:val="000000"/>
              </w:rPr>
            </w:pPr>
            <w:r w:rsidRPr="00486CD6">
              <w:rPr>
                <w:bCs/>
                <w:color w:val="000000"/>
              </w:rPr>
              <w:t>Full time (2 years)</w:t>
            </w:r>
          </w:p>
        </w:tc>
        <w:tc>
          <w:tcPr>
            <w:tcW w:w="2254" w:type="dxa"/>
          </w:tcPr>
          <w:p w14:paraId="6F762746" w14:textId="1B1C0110" w:rsidR="00954727" w:rsidRPr="00486CD6" w:rsidRDefault="00954727" w:rsidP="00954727">
            <w:pPr>
              <w:jc w:val="both"/>
              <w:rPr>
                <w:bCs/>
                <w:color w:val="000000"/>
              </w:rPr>
            </w:pPr>
            <w:r w:rsidRPr="00486CD6">
              <w:rPr>
                <w:bCs/>
                <w:color w:val="000000"/>
              </w:rPr>
              <w:t>£7,950</w:t>
            </w:r>
          </w:p>
        </w:tc>
        <w:tc>
          <w:tcPr>
            <w:tcW w:w="2254" w:type="dxa"/>
          </w:tcPr>
          <w:p w14:paraId="22CDA244" w14:textId="4676702A" w:rsidR="00954727" w:rsidRPr="00486CD6" w:rsidRDefault="00954727" w:rsidP="00954727">
            <w:pPr>
              <w:jc w:val="both"/>
              <w:rPr>
                <w:bCs/>
                <w:color w:val="000000"/>
              </w:rPr>
            </w:pPr>
            <w:r w:rsidRPr="00486CD6">
              <w:rPr>
                <w:bCs/>
                <w:color w:val="000000"/>
              </w:rPr>
              <w:t>£7,950</w:t>
            </w:r>
          </w:p>
        </w:tc>
      </w:tr>
      <w:tr w:rsidR="00954727" w14:paraId="12C1073D" w14:textId="77777777" w:rsidTr="00954727">
        <w:trPr>
          <w:trHeight w:val="115"/>
        </w:trPr>
        <w:tc>
          <w:tcPr>
            <w:tcW w:w="2405" w:type="dxa"/>
            <w:vMerge/>
          </w:tcPr>
          <w:p w14:paraId="0F434FA3" w14:textId="77777777" w:rsidR="00954727" w:rsidRPr="00486CD6" w:rsidRDefault="00954727" w:rsidP="00954727">
            <w:pPr>
              <w:jc w:val="both"/>
              <w:rPr>
                <w:b/>
                <w:color w:val="000000"/>
              </w:rPr>
            </w:pPr>
          </w:p>
        </w:tc>
        <w:tc>
          <w:tcPr>
            <w:tcW w:w="2103" w:type="dxa"/>
          </w:tcPr>
          <w:p w14:paraId="2452C84E" w14:textId="13B5B7EE" w:rsidR="00954727" w:rsidRPr="00486CD6" w:rsidRDefault="00954727" w:rsidP="00954727">
            <w:pPr>
              <w:jc w:val="both"/>
              <w:rPr>
                <w:bCs/>
                <w:color w:val="000000"/>
              </w:rPr>
            </w:pPr>
            <w:r w:rsidRPr="00486CD6">
              <w:rPr>
                <w:bCs/>
                <w:color w:val="000000"/>
              </w:rPr>
              <w:t xml:space="preserve">HND top-up from HNC (1 year) </w:t>
            </w:r>
          </w:p>
        </w:tc>
        <w:tc>
          <w:tcPr>
            <w:tcW w:w="2254" w:type="dxa"/>
          </w:tcPr>
          <w:p w14:paraId="16DB12A2" w14:textId="550C092D" w:rsidR="00954727" w:rsidRPr="00486CD6" w:rsidRDefault="00954727" w:rsidP="00954727">
            <w:pPr>
              <w:jc w:val="both"/>
              <w:rPr>
                <w:bCs/>
                <w:color w:val="000000"/>
              </w:rPr>
            </w:pPr>
            <w:r w:rsidRPr="00486CD6">
              <w:rPr>
                <w:bCs/>
                <w:color w:val="000000"/>
              </w:rPr>
              <w:t>£7,950</w:t>
            </w:r>
          </w:p>
        </w:tc>
        <w:tc>
          <w:tcPr>
            <w:tcW w:w="2254" w:type="dxa"/>
          </w:tcPr>
          <w:p w14:paraId="6D669077" w14:textId="19960FC3" w:rsidR="00954727" w:rsidRPr="00486CD6" w:rsidRDefault="00954727" w:rsidP="00954727">
            <w:pPr>
              <w:jc w:val="both"/>
              <w:rPr>
                <w:bCs/>
                <w:color w:val="000000"/>
              </w:rPr>
            </w:pPr>
            <w:r w:rsidRPr="00486CD6">
              <w:rPr>
                <w:bCs/>
                <w:color w:val="000000"/>
              </w:rPr>
              <w:t>£7,950</w:t>
            </w:r>
          </w:p>
        </w:tc>
      </w:tr>
      <w:tr w:rsidR="00954727" w14:paraId="391FCD79" w14:textId="77777777" w:rsidTr="00954727">
        <w:trPr>
          <w:trHeight w:val="115"/>
        </w:trPr>
        <w:tc>
          <w:tcPr>
            <w:tcW w:w="2405" w:type="dxa"/>
            <w:vMerge/>
          </w:tcPr>
          <w:p w14:paraId="123F791E" w14:textId="77777777" w:rsidR="00954727" w:rsidRPr="00486CD6" w:rsidRDefault="00954727" w:rsidP="00954727">
            <w:pPr>
              <w:jc w:val="both"/>
              <w:rPr>
                <w:b/>
                <w:color w:val="000000"/>
              </w:rPr>
            </w:pPr>
          </w:p>
        </w:tc>
        <w:tc>
          <w:tcPr>
            <w:tcW w:w="2103" w:type="dxa"/>
          </w:tcPr>
          <w:p w14:paraId="28163217" w14:textId="457B1083" w:rsidR="00954727" w:rsidRPr="00486CD6" w:rsidRDefault="00954727" w:rsidP="00954727">
            <w:pPr>
              <w:jc w:val="both"/>
              <w:rPr>
                <w:bCs/>
                <w:color w:val="000000"/>
              </w:rPr>
            </w:pPr>
            <w:r w:rsidRPr="00486CD6">
              <w:rPr>
                <w:bCs/>
                <w:color w:val="000000"/>
              </w:rPr>
              <w:t>HND top-up Part Time</w:t>
            </w:r>
          </w:p>
        </w:tc>
        <w:tc>
          <w:tcPr>
            <w:tcW w:w="2254" w:type="dxa"/>
          </w:tcPr>
          <w:p w14:paraId="768C6D0D" w14:textId="66292D96" w:rsidR="00954727" w:rsidRPr="00486CD6" w:rsidRDefault="00954727" w:rsidP="00954727">
            <w:pPr>
              <w:jc w:val="both"/>
              <w:rPr>
                <w:bCs/>
                <w:color w:val="000000"/>
              </w:rPr>
            </w:pPr>
            <w:r w:rsidRPr="00486CD6">
              <w:rPr>
                <w:bCs/>
                <w:color w:val="000000"/>
              </w:rPr>
              <w:t>£3,975</w:t>
            </w:r>
          </w:p>
        </w:tc>
        <w:tc>
          <w:tcPr>
            <w:tcW w:w="2254" w:type="dxa"/>
          </w:tcPr>
          <w:p w14:paraId="04407D9E" w14:textId="42BC3E0C" w:rsidR="00954727" w:rsidRPr="00486CD6" w:rsidRDefault="00954727" w:rsidP="00954727">
            <w:pPr>
              <w:jc w:val="both"/>
              <w:rPr>
                <w:bCs/>
                <w:color w:val="000000"/>
              </w:rPr>
            </w:pPr>
            <w:r w:rsidRPr="00486CD6">
              <w:rPr>
                <w:bCs/>
                <w:color w:val="000000"/>
              </w:rPr>
              <w:t>£3,975</w:t>
            </w:r>
          </w:p>
        </w:tc>
      </w:tr>
      <w:tr w:rsidR="00954727" w14:paraId="11FED8C1" w14:textId="77777777" w:rsidTr="00954727">
        <w:trPr>
          <w:trHeight w:val="173"/>
        </w:trPr>
        <w:tc>
          <w:tcPr>
            <w:tcW w:w="2405" w:type="dxa"/>
            <w:vMerge w:val="restart"/>
          </w:tcPr>
          <w:p w14:paraId="5C50251A" w14:textId="1AB49587" w:rsidR="00954727" w:rsidRPr="00486CD6" w:rsidRDefault="00954727" w:rsidP="00954727">
            <w:pPr>
              <w:jc w:val="both"/>
              <w:rPr>
                <w:b/>
                <w:color w:val="000000"/>
              </w:rPr>
            </w:pPr>
            <w:r w:rsidRPr="00486CD6">
              <w:rPr>
                <w:b/>
                <w:color w:val="000000"/>
              </w:rPr>
              <w:t>HNC</w:t>
            </w:r>
          </w:p>
        </w:tc>
        <w:tc>
          <w:tcPr>
            <w:tcW w:w="2103" w:type="dxa"/>
          </w:tcPr>
          <w:p w14:paraId="09AC4950" w14:textId="3C798946" w:rsidR="00954727" w:rsidRPr="00486CD6" w:rsidRDefault="00954727" w:rsidP="00954727">
            <w:pPr>
              <w:jc w:val="both"/>
              <w:rPr>
                <w:bCs/>
                <w:color w:val="000000"/>
              </w:rPr>
            </w:pPr>
            <w:r w:rsidRPr="00486CD6">
              <w:rPr>
                <w:bCs/>
                <w:color w:val="000000"/>
              </w:rPr>
              <w:t>Full time (1 year)</w:t>
            </w:r>
          </w:p>
        </w:tc>
        <w:tc>
          <w:tcPr>
            <w:tcW w:w="2254" w:type="dxa"/>
          </w:tcPr>
          <w:p w14:paraId="318546FF" w14:textId="31635286" w:rsidR="00954727" w:rsidRPr="00486CD6" w:rsidRDefault="00954727" w:rsidP="00954727">
            <w:pPr>
              <w:jc w:val="both"/>
              <w:rPr>
                <w:bCs/>
                <w:color w:val="000000"/>
              </w:rPr>
            </w:pPr>
            <w:r w:rsidRPr="00486CD6">
              <w:rPr>
                <w:bCs/>
                <w:color w:val="000000"/>
              </w:rPr>
              <w:t>£7,950</w:t>
            </w:r>
          </w:p>
        </w:tc>
        <w:tc>
          <w:tcPr>
            <w:tcW w:w="2254" w:type="dxa"/>
          </w:tcPr>
          <w:p w14:paraId="610182AC" w14:textId="3D35F6DB" w:rsidR="00954727" w:rsidRPr="00486CD6" w:rsidRDefault="00954727" w:rsidP="00954727">
            <w:pPr>
              <w:jc w:val="both"/>
              <w:rPr>
                <w:bCs/>
                <w:color w:val="000000"/>
              </w:rPr>
            </w:pPr>
            <w:r w:rsidRPr="00486CD6">
              <w:rPr>
                <w:bCs/>
                <w:color w:val="000000"/>
              </w:rPr>
              <w:t>£7,950</w:t>
            </w:r>
          </w:p>
        </w:tc>
      </w:tr>
      <w:tr w:rsidR="00954727" w14:paraId="3B75EB53" w14:textId="77777777" w:rsidTr="00954727">
        <w:trPr>
          <w:trHeight w:val="172"/>
        </w:trPr>
        <w:tc>
          <w:tcPr>
            <w:tcW w:w="2405" w:type="dxa"/>
            <w:vMerge/>
          </w:tcPr>
          <w:p w14:paraId="4EB74031" w14:textId="77777777" w:rsidR="00954727" w:rsidRPr="00486CD6" w:rsidRDefault="00954727" w:rsidP="00954727">
            <w:pPr>
              <w:jc w:val="both"/>
              <w:rPr>
                <w:b/>
                <w:color w:val="000000"/>
              </w:rPr>
            </w:pPr>
          </w:p>
        </w:tc>
        <w:tc>
          <w:tcPr>
            <w:tcW w:w="2103" w:type="dxa"/>
          </w:tcPr>
          <w:p w14:paraId="67267A54" w14:textId="1372EEA9" w:rsidR="00954727" w:rsidRPr="00486CD6" w:rsidRDefault="00954727" w:rsidP="00954727">
            <w:pPr>
              <w:jc w:val="both"/>
              <w:rPr>
                <w:bCs/>
                <w:color w:val="000000"/>
              </w:rPr>
            </w:pPr>
            <w:r w:rsidRPr="00486CD6">
              <w:rPr>
                <w:bCs/>
                <w:color w:val="000000"/>
              </w:rPr>
              <w:t>Part time (2 years)</w:t>
            </w:r>
          </w:p>
        </w:tc>
        <w:tc>
          <w:tcPr>
            <w:tcW w:w="2254" w:type="dxa"/>
          </w:tcPr>
          <w:p w14:paraId="4A2FE33F" w14:textId="06DCC75C" w:rsidR="00954727" w:rsidRPr="00486CD6" w:rsidRDefault="00954727" w:rsidP="00954727">
            <w:pPr>
              <w:jc w:val="both"/>
              <w:rPr>
                <w:bCs/>
                <w:color w:val="000000"/>
              </w:rPr>
            </w:pPr>
            <w:r w:rsidRPr="00486CD6">
              <w:rPr>
                <w:bCs/>
                <w:color w:val="000000"/>
              </w:rPr>
              <w:t>£3,975</w:t>
            </w:r>
          </w:p>
        </w:tc>
        <w:tc>
          <w:tcPr>
            <w:tcW w:w="2254" w:type="dxa"/>
          </w:tcPr>
          <w:p w14:paraId="2A2DD5F5" w14:textId="313CA94C" w:rsidR="00954727" w:rsidRPr="00486CD6" w:rsidRDefault="00954727" w:rsidP="00954727">
            <w:pPr>
              <w:jc w:val="both"/>
              <w:rPr>
                <w:bCs/>
                <w:color w:val="000000"/>
              </w:rPr>
            </w:pPr>
            <w:r w:rsidRPr="00486CD6">
              <w:rPr>
                <w:bCs/>
                <w:color w:val="000000"/>
              </w:rPr>
              <w:t>£3,975</w:t>
            </w:r>
          </w:p>
        </w:tc>
      </w:tr>
      <w:tr w:rsidR="00954727" w14:paraId="35A78ACF" w14:textId="77777777" w:rsidTr="00954727">
        <w:tc>
          <w:tcPr>
            <w:tcW w:w="2405" w:type="dxa"/>
          </w:tcPr>
          <w:p w14:paraId="78CE1689" w14:textId="2871F91A" w:rsidR="00954727" w:rsidRPr="00486CD6" w:rsidRDefault="00954727" w:rsidP="00954727">
            <w:pPr>
              <w:jc w:val="both"/>
              <w:rPr>
                <w:b/>
                <w:color w:val="000000"/>
              </w:rPr>
            </w:pPr>
            <w:r w:rsidRPr="00486CD6">
              <w:rPr>
                <w:b/>
                <w:color w:val="000000"/>
              </w:rPr>
              <w:t>Initial</w:t>
            </w:r>
            <w:r>
              <w:rPr>
                <w:b/>
                <w:color w:val="000000"/>
              </w:rPr>
              <w:t xml:space="preserve"> </w:t>
            </w:r>
            <w:r w:rsidRPr="00486CD6">
              <w:rPr>
                <w:b/>
                <w:color w:val="000000"/>
              </w:rPr>
              <w:t>Teacher Training</w:t>
            </w:r>
          </w:p>
        </w:tc>
        <w:tc>
          <w:tcPr>
            <w:tcW w:w="2103" w:type="dxa"/>
          </w:tcPr>
          <w:p w14:paraId="15438F57" w14:textId="7167250E" w:rsidR="00954727" w:rsidRPr="00486CD6" w:rsidRDefault="00954727" w:rsidP="00954727">
            <w:pPr>
              <w:jc w:val="both"/>
              <w:rPr>
                <w:bCs/>
                <w:color w:val="000000"/>
              </w:rPr>
            </w:pPr>
            <w:r w:rsidRPr="00486CD6">
              <w:rPr>
                <w:bCs/>
                <w:color w:val="000000"/>
              </w:rPr>
              <w:t xml:space="preserve">Part time </w:t>
            </w:r>
          </w:p>
        </w:tc>
        <w:tc>
          <w:tcPr>
            <w:tcW w:w="2254" w:type="dxa"/>
          </w:tcPr>
          <w:p w14:paraId="5BDEC2F6" w14:textId="636EEC6F" w:rsidR="00954727" w:rsidRPr="00486CD6" w:rsidRDefault="00954727" w:rsidP="00954727">
            <w:pPr>
              <w:jc w:val="both"/>
              <w:rPr>
                <w:bCs/>
                <w:color w:val="000000"/>
              </w:rPr>
            </w:pPr>
            <w:r w:rsidRPr="00486CD6">
              <w:rPr>
                <w:bCs/>
                <w:color w:val="000000"/>
              </w:rPr>
              <w:t>£4,700</w:t>
            </w:r>
          </w:p>
        </w:tc>
        <w:tc>
          <w:tcPr>
            <w:tcW w:w="2254" w:type="dxa"/>
          </w:tcPr>
          <w:p w14:paraId="0BEA46B7" w14:textId="1403EB97" w:rsidR="00954727" w:rsidRPr="00486CD6" w:rsidRDefault="00954727" w:rsidP="00954727">
            <w:pPr>
              <w:jc w:val="both"/>
              <w:rPr>
                <w:bCs/>
                <w:color w:val="000000"/>
              </w:rPr>
            </w:pPr>
            <w:r w:rsidRPr="00486CD6">
              <w:rPr>
                <w:bCs/>
                <w:color w:val="000000"/>
              </w:rPr>
              <w:t>£4,700</w:t>
            </w:r>
          </w:p>
        </w:tc>
      </w:tr>
    </w:tbl>
    <w:p w14:paraId="162B48FE" w14:textId="77777777" w:rsidR="0016532D" w:rsidRPr="00417F7A" w:rsidRDefault="0016532D" w:rsidP="0016532D">
      <w:pPr>
        <w:pBdr>
          <w:top w:val="nil"/>
          <w:left w:val="nil"/>
          <w:bottom w:val="nil"/>
          <w:right w:val="nil"/>
          <w:between w:val="nil"/>
        </w:pBdr>
        <w:spacing w:after="0" w:line="240" w:lineRule="auto"/>
        <w:jc w:val="both"/>
        <w:rPr>
          <w:b/>
          <w:color w:val="000000"/>
          <w:sz w:val="28"/>
          <w:szCs w:val="28"/>
        </w:rPr>
      </w:pPr>
    </w:p>
    <w:p w14:paraId="042F7BEC" w14:textId="77777777" w:rsidR="00271AA4" w:rsidRDefault="00271AA4" w:rsidP="00271AA4">
      <w:pPr>
        <w:spacing w:after="0" w:line="240" w:lineRule="auto"/>
        <w:jc w:val="both"/>
      </w:pPr>
      <w:r>
        <w:t xml:space="preserve">Fees for repeated assessment with attendance will be calculated based on the number of credits </w:t>
      </w:r>
    </w:p>
    <w:p w14:paraId="0000007E" w14:textId="2CB1D0FF" w:rsidR="00D5218E" w:rsidRDefault="00271AA4" w:rsidP="00271AA4">
      <w:pPr>
        <w:spacing w:after="0" w:line="240" w:lineRule="auto"/>
        <w:jc w:val="both"/>
      </w:pPr>
      <w:r>
        <w:t>to be re assessed at the rate applying when the module is retaken.</w:t>
      </w:r>
    </w:p>
    <w:p w14:paraId="20446771" w14:textId="77777777" w:rsidR="00271AA4" w:rsidRDefault="00271AA4" w:rsidP="00271AA4">
      <w:pPr>
        <w:spacing w:after="0" w:line="240" w:lineRule="auto"/>
        <w:jc w:val="both"/>
      </w:pPr>
    </w:p>
    <w:p w14:paraId="32EA2E3B" w14:textId="77777777" w:rsidR="00271AA4" w:rsidRPr="0099741A" w:rsidRDefault="00271AA4" w:rsidP="00271AA4">
      <w:pPr>
        <w:pStyle w:val="ListParagraph"/>
        <w:numPr>
          <w:ilvl w:val="1"/>
          <w:numId w:val="2"/>
        </w:numPr>
        <w:spacing w:after="0" w:line="240" w:lineRule="auto"/>
        <w:jc w:val="both"/>
        <w:rPr>
          <w:b/>
          <w:bCs/>
        </w:rPr>
      </w:pPr>
      <w:r w:rsidRPr="0099741A">
        <w:rPr>
          <w:b/>
          <w:bCs/>
        </w:rPr>
        <w:t xml:space="preserve">Other charges </w:t>
      </w:r>
    </w:p>
    <w:p w14:paraId="51F0C413" w14:textId="77777777" w:rsidR="00271AA4" w:rsidRDefault="00271AA4" w:rsidP="00271AA4">
      <w:pPr>
        <w:spacing w:after="0" w:line="240" w:lineRule="auto"/>
        <w:jc w:val="both"/>
      </w:pPr>
    </w:p>
    <w:p w14:paraId="79C55926" w14:textId="77777777" w:rsidR="002D6932" w:rsidRDefault="002D6932" w:rsidP="002D6932">
      <w:pPr>
        <w:spacing w:after="0" w:line="240" w:lineRule="auto"/>
        <w:jc w:val="both"/>
      </w:pPr>
      <w:r>
        <w:t xml:space="preserve">Unless specified in the course information provided prior to application, the tuition fee covers </w:t>
      </w:r>
    </w:p>
    <w:p w14:paraId="22F9FCBE" w14:textId="77777777" w:rsidR="002D6932" w:rsidRDefault="002D6932" w:rsidP="002D6932">
      <w:pPr>
        <w:spacing w:after="0" w:line="240" w:lineRule="auto"/>
        <w:jc w:val="both"/>
      </w:pPr>
      <w:r>
        <w:t xml:space="preserve">all teaching delivery costs. Students will not be charged additional costs except for the </w:t>
      </w:r>
    </w:p>
    <w:p w14:paraId="7F255BE4" w14:textId="6B61DB43" w:rsidR="00271AA4" w:rsidRDefault="002D6932" w:rsidP="002D6932">
      <w:pPr>
        <w:spacing w:after="0" w:line="240" w:lineRule="auto"/>
        <w:jc w:val="both"/>
      </w:pPr>
      <w:r>
        <w:t>following:</w:t>
      </w:r>
    </w:p>
    <w:p w14:paraId="0BA40328" w14:textId="77777777" w:rsidR="002D6932" w:rsidRDefault="002D6932" w:rsidP="002D6932">
      <w:pPr>
        <w:spacing w:after="0" w:line="240" w:lineRule="auto"/>
        <w:jc w:val="both"/>
      </w:pPr>
    </w:p>
    <w:p w14:paraId="133D90B0" w14:textId="642EAAD3" w:rsidR="002D6932" w:rsidRDefault="002D6932" w:rsidP="00EC0CA6">
      <w:pPr>
        <w:pStyle w:val="ListParagraph"/>
        <w:numPr>
          <w:ilvl w:val="0"/>
          <w:numId w:val="9"/>
        </w:numPr>
        <w:spacing w:after="0" w:line="240" w:lineRule="auto"/>
        <w:jc w:val="both"/>
      </w:pPr>
      <w:r w:rsidRPr="00EC0CA6">
        <w:rPr>
          <w:b/>
          <w:bCs/>
        </w:rPr>
        <w:t>DBS checks</w:t>
      </w:r>
      <w:r>
        <w:t xml:space="preserve"> where the check is not required for participation in learning or where it is </w:t>
      </w:r>
    </w:p>
    <w:p w14:paraId="3BE46284" w14:textId="77777777" w:rsidR="002D6932" w:rsidRDefault="002D6932" w:rsidP="00EC0CA6">
      <w:pPr>
        <w:spacing w:after="0" w:line="240" w:lineRule="auto"/>
        <w:jc w:val="both"/>
      </w:pPr>
      <w:r>
        <w:t>related to the learner’s employer in which case the employer is responsible for the cost</w:t>
      </w:r>
    </w:p>
    <w:p w14:paraId="43A42CBB" w14:textId="65FA569C" w:rsidR="002D6932" w:rsidRDefault="002D6932" w:rsidP="00EC0CA6">
      <w:pPr>
        <w:pStyle w:val="ListParagraph"/>
        <w:numPr>
          <w:ilvl w:val="0"/>
          <w:numId w:val="9"/>
        </w:numPr>
        <w:spacing w:after="0" w:line="240" w:lineRule="auto"/>
        <w:jc w:val="both"/>
      </w:pPr>
      <w:r w:rsidRPr="00EC0CA6">
        <w:rPr>
          <w:b/>
          <w:bCs/>
        </w:rPr>
        <w:t>Any examination or awarding body fees</w:t>
      </w:r>
      <w:r>
        <w:t xml:space="preserve"> incurred where a student chooses not to attend </w:t>
      </w:r>
    </w:p>
    <w:p w14:paraId="0C54E66A" w14:textId="77777777" w:rsidR="002D6932" w:rsidRDefault="002D6932" w:rsidP="00EC0CA6">
      <w:pPr>
        <w:spacing w:after="0" w:line="240" w:lineRule="auto"/>
        <w:jc w:val="both"/>
      </w:pPr>
      <w:r>
        <w:t xml:space="preserve">an examination without informing the college at least 48 hours in advance or where they </w:t>
      </w:r>
    </w:p>
    <w:p w14:paraId="30183A3D" w14:textId="77777777" w:rsidR="002D6932" w:rsidRDefault="002D6932" w:rsidP="00EC0CA6">
      <w:pPr>
        <w:spacing w:after="0" w:line="240" w:lineRule="auto"/>
        <w:jc w:val="both"/>
      </w:pPr>
      <w:r>
        <w:t>cannot provide satisfactory evidence that failure to attend was unavoidable</w:t>
      </w:r>
    </w:p>
    <w:p w14:paraId="2C7F05CF" w14:textId="0B352593" w:rsidR="002D6932" w:rsidRDefault="002D6932" w:rsidP="00EC0CA6">
      <w:pPr>
        <w:pStyle w:val="ListParagraph"/>
        <w:numPr>
          <w:ilvl w:val="0"/>
          <w:numId w:val="9"/>
        </w:numPr>
        <w:spacing w:after="0" w:line="240" w:lineRule="auto"/>
        <w:jc w:val="both"/>
      </w:pPr>
      <w:r w:rsidRPr="00EC0CA6">
        <w:rPr>
          <w:b/>
          <w:bCs/>
        </w:rPr>
        <w:t>Resit examination fees or awarding body fees</w:t>
      </w:r>
      <w:r>
        <w:t xml:space="preserve"> will apply for all students who choose to </w:t>
      </w:r>
    </w:p>
    <w:p w14:paraId="200EB343" w14:textId="77777777" w:rsidR="002D6932" w:rsidRDefault="002D6932" w:rsidP="00EC0CA6">
      <w:pPr>
        <w:spacing w:after="0" w:line="240" w:lineRule="auto"/>
        <w:jc w:val="both"/>
      </w:pPr>
      <w:r>
        <w:t xml:space="preserve">re-sit an examination previously sat with The Sheffield College. The re-sit fee for each exam </w:t>
      </w:r>
    </w:p>
    <w:p w14:paraId="6EFFDBBE" w14:textId="77777777" w:rsidR="002D6932" w:rsidRDefault="002D6932" w:rsidP="00EC0CA6">
      <w:pPr>
        <w:spacing w:after="0" w:line="240" w:lineRule="auto"/>
        <w:jc w:val="both"/>
      </w:pPr>
      <w:r>
        <w:t xml:space="preserve">will be the examination fee set by the relevant awarding body. Re-sit fees must be paid in </w:t>
      </w:r>
    </w:p>
    <w:p w14:paraId="689DF006" w14:textId="77777777" w:rsidR="002D6932" w:rsidRDefault="002D6932" w:rsidP="00EC0CA6">
      <w:pPr>
        <w:spacing w:after="0" w:line="240" w:lineRule="auto"/>
        <w:jc w:val="both"/>
      </w:pPr>
      <w:r>
        <w:t xml:space="preserve">full in advance. Students must re-sit the relevant exam at the first appropriate opportunity. </w:t>
      </w:r>
    </w:p>
    <w:p w14:paraId="0E0DF485" w14:textId="77777777" w:rsidR="002D6932" w:rsidRDefault="002D6932" w:rsidP="00EC0CA6">
      <w:pPr>
        <w:spacing w:after="0" w:line="240" w:lineRule="auto"/>
        <w:jc w:val="both"/>
      </w:pPr>
      <w:r>
        <w:t>After this, they will be required to pay the external candidate fee.</w:t>
      </w:r>
    </w:p>
    <w:p w14:paraId="7CE48404" w14:textId="05FCFB37" w:rsidR="002D6932" w:rsidRDefault="002D6932" w:rsidP="00EC0CA6">
      <w:pPr>
        <w:pStyle w:val="ListParagraph"/>
        <w:numPr>
          <w:ilvl w:val="0"/>
          <w:numId w:val="9"/>
        </w:numPr>
        <w:spacing w:after="0" w:line="240" w:lineRule="auto"/>
        <w:jc w:val="both"/>
      </w:pPr>
      <w:r w:rsidRPr="00EC0CA6">
        <w:rPr>
          <w:b/>
          <w:bCs/>
        </w:rPr>
        <w:t>Health and Safety clothing and equipment</w:t>
      </w:r>
      <w:r>
        <w:t xml:space="preserve"> which is necessary to undertake </w:t>
      </w:r>
      <w:proofErr w:type="gramStart"/>
      <w:r>
        <w:t>their</w:t>
      </w:r>
      <w:proofErr w:type="gramEnd"/>
      <w:r>
        <w:t xml:space="preserve"> </w:t>
      </w:r>
    </w:p>
    <w:p w14:paraId="65A99200" w14:textId="77777777" w:rsidR="002D6932" w:rsidRDefault="002D6932" w:rsidP="00EC0CA6">
      <w:pPr>
        <w:spacing w:after="0" w:line="240" w:lineRule="auto"/>
        <w:jc w:val="both"/>
      </w:pPr>
      <w:r>
        <w:t xml:space="preserve">programme of study and where the equipment will remain the property of the student once </w:t>
      </w:r>
    </w:p>
    <w:p w14:paraId="3552F047" w14:textId="77777777" w:rsidR="002D6932" w:rsidRDefault="002D6932" w:rsidP="00EC0CA6">
      <w:pPr>
        <w:spacing w:after="0" w:line="240" w:lineRule="auto"/>
        <w:jc w:val="both"/>
      </w:pPr>
      <w:r>
        <w:t xml:space="preserve">the course has been completed. Alternatively, students can borrow safety equipment / </w:t>
      </w:r>
    </w:p>
    <w:p w14:paraId="49D8AB4F" w14:textId="77777777" w:rsidR="002D6932" w:rsidRDefault="002D6932" w:rsidP="00EC0CA6">
      <w:pPr>
        <w:spacing w:after="0" w:line="240" w:lineRule="auto"/>
        <w:jc w:val="both"/>
      </w:pPr>
      <w:r>
        <w:t>special clothing free of charge.</w:t>
      </w:r>
    </w:p>
    <w:p w14:paraId="1830D589" w14:textId="1C8847D2" w:rsidR="002D6932" w:rsidRDefault="002D6932" w:rsidP="00EC0CA6">
      <w:pPr>
        <w:pStyle w:val="ListParagraph"/>
        <w:numPr>
          <w:ilvl w:val="0"/>
          <w:numId w:val="9"/>
        </w:numPr>
        <w:spacing w:after="0" w:line="240" w:lineRule="auto"/>
        <w:jc w:val="both"/>
      </w:pPr>
      <w:r w:rsidRPr="00EC0CA6">
        <w:rPr>
          <w:b/>
          <w:bCs/>
        </w:rPr>
        <w:t xml:space="preserve">Materials for practical courses </w:t>
      </w:r>
      <w:r>
        <w:t xml:space="preserve">e.g. art and design programmes, contributions will be </w:t>
      </w:r>
    </w:p>
    <w:p w14:paraId="247CA876" w14:textId="77777777" w:rsidR="002D6932" w:rsidRDefault="002D6932" w:rsidP="00EC0CA6">
      <w:pPr>
        <w:spacing w:after="0" w:line="240" w:lineRule="auto"/>
        <w:jc w:val="both"/>
      </w:pPr>
      <w:r>
        <w:t xml:space="preserve">voluntary, but a student who does not make the specified contribution will not be able to </w:t>
      </w:r>
    </w:p>
    <w:p w14:paraId="5D57797A" w14:textId="77777777" w:rsidR="002D6932" w:rsidRDefault="002D6932" w:rsidP="00EC0CA6">
      <w:pPr>
        <w:spacing w:after="0" w:line="240" w:lineRule="auto"/>
        <w:jc w:val="both"/>
      </w:pPr>
      <w:r>
        <w:t>retain any practical work they have completed.</w:t>
      </w:r>
    </w:p>
    <w:p w14:paraId="7FDC2983" w14:textId="07586721" w:rsidR="002D6932" w:rsidRDefault="002D6932" w:rsidP="00EC0CA6">
      <w:pPr>
        <w:pStyle w:val="ListParagraph"/>
        <w:numPr>
          <w:ilvl w:val="0"/>
          <w:numId w:val="9"/>
        </w:numPr>
        <w:spacing w:after="0" w:line="240" w:lineRule="auto"/>
        <w:jc w:val="both"/>
      </w:pPr>
      <w:r w:rsidRPr="00EC0CA6">
        <w:rPr>
          <w:b/>
          <w:bCs/>
        </w:rPr>
        <w:t xml:space="preserve">Trips or visits </w:t>
      </w:r>
      <w:r>
        <w:t xml:space="preserve">undertaken which do not link to learning outcomes on the student’s </w:t>
      </w:r>
    </w:p>
    <w:p w14:paraId="3C3191E2" w14:textId="77777777" w:rsidR="002D6932" w:rsidRDefault="002D6932" w:rsidP="00EC0CA6">
      <w:pPr>
        <w:spacing w:after="0" w:line="240" w:lineRule="auto"/>
        <w:jc w:val="both"/>
      </w:pPr>
      <w:r>
        <w:t xml:space="preserve">programme of study, a fee may be charged for such trips and visits but not for trips and </w:t>
      </w:r>
    </w:p>
    <w:p w14:paraId="2D35CF6D" w14:textId="54B6585A" w:rsidR="002D6932" w:rsidRDefault="002D6932" w:rsidP="00EC0CA6">
      <w:pPr>
        <w:spacing w:after="0" w:line="240" w:lineRule="auto"/>
        <w:jc w:val="both"/>
      </w:pPr>
      <w:r>
        <w:t>visits that enable students to complete learning outcomes for their qualifications.</w:t>
      </w:r>
    </w:p>
    <w:p w14:paraId="4F0E35B5" w14:textId="77777777" w:rsidR="002D6932" w:rsidRDefault="002D6932" w:rsidP="002D6932">
      <w:pPr>
        <w:spacing w:after="0" w:line="240" w:lineRule="auto"/>
        <w:jc w:val="both"/>
      </w:pPr>
    </w:p>
    <w:p w14:paraId="01F04A82" w14:textId="77777777" w:rsidR="002D6932" w:rsidRDefault="002D6932" w:rsidP="002D6932">
      <w:pPr>
        <w:spacing w:after="0" w:line="240" w:lineRule="auto"/>
        <w:jc w:val="both"/>
      </w:pPr>
    </w:p>
    <w:p w14:paraId="5AB692BB" w14:textId="64390D0D" w:rsidR="00271AA4" w:rsidRPr="00B84FA0" w:rsidRDefault="00EC0CA6" w:rsidP="00271AA4">
      <w:pPr>
        <w:pStyle w:val="ListParagraph"/>
        <w:numPr>
          <w:ilvl w:val="1"/>
          <w:numId w:val="2"/>
        </w:numPr>
        <w:spacing w:after="0" w:line="240" w:lineRule="auto"/>
        <w:jc w:val="both"/>
        <w:rPr>
          <w:b/>
          <w:bCs/>
        </w:rPr>
      </w:pPr>
      <w:r w:rsidRPr="00B84FA0">
        <w:rPr>
          <w:b/>
          <w:bCs/>
        </w:rPr>
        <w:t xml:space="preserve">Withdrawals </w:t>
      </w:r>
    </w:p>
    <w:p w14:paraId="54D9E9E4" w14:textId="77777777" w:rsidR="00B84FA0" w:rsidRDefault="00B84FA0" w:rsidP="00B84FA0">
      <w:pPr>
        <w:spacing w:after="0" w:line="240" w:lineRule="auto"/>
        <w:jc w:val="both"/>
      </w:pPr>
    </w:p>
    <w:p w14:paraId="2D7441BD" w14:textId="77777777" w:rsidR="00B84FA0" w:rsidRDefault="00B84FA0" w:rsidP="00B84FA0">
      <w:pPr>
        <w:spacing w:after="0" w:line="240" w:lineRule="auto"/>
        <w:jc w:val="both"/>
      </w:pPr>
      <w:r>
        <w:t>Where a student withdraws from the course, the student’s fee liability will mirror the SFE</w:t>
      </w:r>
    </w:p>
    <w:p w14:paraId="600AC5AD" w14:textId="77777777" w:rsidR="00B84FA0" w:rsidRDefault="00B84FA0" w:rsidP="00B84FA0">
      <w:pPr>
        <w:spacing w:after="0" w:line="240" w:lineRule="auto"/>
        <w:jc w:val="both"/>
      </w:pPr>
      <w:r>
        <w:t xml:space="preserve">methodology (except where an employer / sponsor pays the fees), whereby a student’s total fee </w:t>
      </w:r>
    </w:p>
    <w:p w14:paraId="184E6BC5" w14:textId="77777777" w:rsidR="00B84FA0" w:rsidRDefault="00B84FA0" w:rsidP="00B84FA0">
      <w:pPr>
        <w:spacing w:after="0" w:line="240" w:lineRule="auto"/>
        <w:jc w:val="both"/>
      </w:pPr>
      <w:r>
        <w:t xml:space="preserve">liability is determined by confirmation of attendance at three liability points during the academic </w:t>
      </w:r>
    </w:p>
    <w:p w14:paraId="370282A9" w14:textId="220F0BE0" w:rsidR="00B84FA0" w:rsidRDefault="00B84FA0" w:rsidP="00B84FA0">
      <w:pPr>
        <w:spacing w:after="0" w:line="240" w:lineRule="auto"/>
        <w:jc w:val="both"/>
      </w:pPr>
      <w:r>
        <w:t>year.</w:t>
      </w:r>
    </w:p>
    <w:p w14:paraId="7B5EC3AD" w14:textId="77777777" w:rsidR="00A726EF" w:rsidRDefault="00A726EF" w:rsidP="00B84FA0">
      <w:pPr>
        <w:spacing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0781C" w14:paraId="2D3142EE" w14:textId="77777777" w:rsidTr="005D0E1F">
        <w:tc>
          <w:tcPr>
            <w:tcW w:w="4508" w:type="dxa"/>
          </w:tcPr>
          <w:p w14:paraId="2621F0EC" w14:textId="13614E43" w:rsidR="00C0781C" w:rsidRPr="005D0E1F" w:rsidRDefault="00C0781C" w:rsidP="00B84FA0">
            <w:pPr>
              <w:jc w:val="both"/>
              <w:rPr>
                <w:b/>
                <w:bCs/>
              </w:rPr>
            </w:pPr>
            <w:r w:rsidRPr="005D0E1F">
              <w:rPr>
                <w:b/>
                <w:bCs/>
              </w:rPr>
              <w:t xml:space="preserve">Date of liability </w:t>
            </w:r>
          </w:p>
        </w:tc>
        <w:tc>
          <w:tcPr>
            <w:tcW w:w="4508" w:type="dxa"/>
          </w:tcPr>
          <w:p w14:paraId="7F244328" w14:textId="76676B70" w:rsidR="00C0781C" w:rsidRPr="005D0E1F" w:rsidRDefault="00C0781C" w:rsidP="00B84FA0">
            <w:pPr>
              <w:jc w:val="both"/>
              <w:rPr>
                <w:b/>
                <w:bCs/>
              </w:rPr>
            </w:pPr>
            <w:r w:rsidRPr="005D0E1F">
              <w:rPr>
                <w:b/>
                <w:bCs/>
              </w:rPr>
              <w:t xml:space="preserve">Fee Liability </w:t>
            </w:r>
          </w:p>
        </w:tc>
      </w:tr>
      <w:tr w:rsidR="00C0781C" w14:paraId="01402562" w14:textId="77777777" w:rsidTr="005D0E1F">
        <w:tc>
          <w:tcPr>
            <w:tcW w:w="4508" w:type="dxa"/>
          </w:tcPr>
          <w:p w14:paraId="55E15F6E" w14:textId="557463A4" w:rsidR="00C0781C" w:rsidRDefault="00C0781C" w:rsidP="00B84FA0">
            <w:pPr>
              <w:jc w:val="both"/>
            </w:pPr>
            <w:r>
              <w:t xml:space="preserve">After the start of term 1 </w:t>
            </w:r>
          </w:p>
        </w:tc>
        <w:tc>
          <w:tcPr>
            <w:tcW w:w="4508" w:type="dxa"/>
          </w:tcPr>
          <w:p w14:paraId="4216D6ED" w14:textId="0929C522" w:rsidR="00C0781C" w:rsidRDefault="00C0781C" w:rsidP="00B84FA0">
            <w:pPr>
              <w:jc w:val="both"/>
            </w:pPr>
            <w:r>
              <w:t>25%</w:t>
            </w:r>
          </w:p>
        </w:tc>
      </w:tr>
      <w:tr w:rsidR="00C0781C" w14:paraId="58A0CC56" w14:textId="77777777" w:rsidTr="005D0E1F">
        <w:tc>
          <w:tcPr>
            <w:tcW w:w="4508" w:type="dxa"/>
          </w:tcPr>
          <w:p w14:paraId="14E6C791" w14:textId="3F5DC161" w:rsidR="00C0781C" w:rsidRDefault="00C0781C" w:rsidP="00B84FA0">
            <w:pPr>
              <w:jc w:val="both"/>
            </w:pPr>
            <w:r>
              <w:t xml:space="preserve">On the start date of term 2 </w:t>
            </w:r>
          </w:p>
        </w:tc>
        <w:tc>
          <w:tcPr>
            <w:tcW w:w="4508" w:type="dxa"/>
          </w:tcPr>
          <w:p w14:paraId="7482CA88" w14:textId="6A12DE2B" w:rsidR="00C0781C" w:rsidRDefault="005D0E1F" w:rsidP="00B84FA0">
            <w:pPr>
              <w:jc w:val="both"/>
            </w:pPr>
            <w:r>
              <w:t xml:space="preserve">50% </w:t>
            </w:r>
          </w:p>
        </w:tc>
      </w:tr>
      <w:tr w:rsidR="00C0781C" w14:paraId="2B14A237" w14:textId="77777777" w:rsidTr="005D0E1F">
        <w:tc>
          <w:tcPr>
            <w:tcW w:w="4508" w:type="dxa"/>
          </w:tcPr>
          <w:p w14:paraId="2BCBEA51" w14:textId="554CBF7F" w:rsidR="00C0781C" w:rsidRDefault="005D0E1F" w:rsidP="00B84FA0">
            <w:pPr>
              <w:jc w:val="both"/>
            </w:pPr>
            <w:r>
              <w:t xml:space="preserve">On the start date of term 3 and thereafter </w:t>
            </w:r>
          </w:p>
        </w:tc>
        <w:tc>
          <w:tcPr>
            <w:tcW w:w="4508" w:type="dxa"/>
          </w:tcPr>
          <w:p w14:paraId="48E8EE8E" w14:textId="2B94BC0B" w:rsidR="00C0781C" w:rsidRDefault="005D0E1F" w:rsidP="00B84FA0">
            <w:pPr>
              <w:jc w:val="both"/>
            </w:pPr>
            <w:r>
              <w:t>100%</w:t>
            </w:r>
          </w:p>
        </w:tc>
      </w:tr>
    </w:tbl>
    <w:p w14:paraId="10DE6B8A" w14:textId="77777777" w:rsidR="00A726EF" w:rsidRDefault="00A726EF" w:rsidP="00B84FA0">
      <w:pPr>
        <w:spacing w:after="0" w:line="240" w:lineRule="auto"/>
        <w:jc w:val="both"/>
      </w:pPr>
    </w:p>
    <w:p w14:paraId="5A3EE2EC" w14:textId="77777777" w:rsidR="009268A8" w:rsidRDefault="009268A8" w:rsidP="009268A8">
      <w:pPr>
        <w:spacing w:after="0" w:line="240" w:lineRule="auto"/>
        <w:jc w:val="both"/>
      </w:pPr>
      <w:r>
        <w:t xml:space="preserve">Where a student withdraws from the course and a tuition fee loan is in place, there will be no </w:t>
      </w:r>
    </w:p>
    <w:p w14:paraId="399463A2" w14:textId="77777777" w:rsidR="009268A8" w:rsidRDefault="009268A8" w:rsidP="009268A8">
      <w:pPr>
        <w:spacing w:after="0" w:line="240" w:lineRule="auto"/>
        <w:jc w:val="both"/>
      </w:pPr>
      <w:r>
        <w:t>further liability on the student for the element of the tuition fee not covered by the portion of the</w:t>
      </w:r>
    </w:p>
    <w:p w14:paraId="0CBF06E9" w14:textId="77777777" w:rsidR="009268A8" w:rsidRDefault="009268A8" w:rsidP="009268A8">
      <w:pPr>
        <w:spacing w:after="0" w:line="240" w:lineRule="auto"/>
        <w:jc w:val="both"/>
      </w:pPr>
      <w:r>
        <w:t xml:space="preserve">loan that has been received by the college as at the date of withdrawal. No refund of fees already </w:t>
      </w:r>
    </w:p>
    <w:p w14:paraId="1778CFF2" w14:textId="77777777" w:rsidR="009268A8" w:rsidRDefault="009268A8" w:rsidP="009268A8">
      <w:pPr>
        <w:spacing w:after="0" w:line="240" w:lineRule="auto"/>
        <w:jc w:val="both"/>
      </w:pPr>
      <w:r>
        <w:t xml:space="preserve">paid will be given in this situation. </w:t>
      </w:r>
    </w:p>
    <w:p w14:paraId="279179FA" w14:textId="77777777" w:rsidR="00C628AE" w:rsidRDefault="00C628AE" w:rsidP="009268A8">
      <w:pPr>
        <w:spacing w:after="0" w:line="240" w:lineRule="auto"/>
        <w:jc w:val="both"/>
      </w:pPr>
    </w:p>
    <w:p w14:paraId="10CE2C57" w14:textId="77777777" w:rsidR="009268A8" w:rsidRDefault="009268A8" w:rsidP="009268A8">
      <w:pPr>
        <w:spacing w:after="0" w:line="240" w:lineRule="auto"/>
        <w:jc w:val="both"/>
      </w:pPr>
      <w:r>
        <w:t xml:space="preserve">Where a student withdraws from the course and a tuition fee loan is not in place, the student </w:t>
      </w:r>
    </w:p>
    <w:p w14:paraId="5087CCA3" w14:textId="77777777" w:rsidR="009268A8" w:rsidRDefault="009268A8" w:rsidP="009268A8">
      <w:pPr>
        <w:spacing w:after="0" w:line="240" w:lineRule="auto"/>
        <w:jc w:val="both"/>
      </w:pPr>
      <w:r>
        <w:t>will be liable for the portion of the tuition fee payable according to the SFE table above</w:t>
      </w:r>
    </w:p>
    <w:p w14:paraId="04C26A8D" w14:textId="77777777" w:rsidR="009268A8" w:rsidRDefault="009268A8" w:rsidP="009268A8">
      <w:pPr>
        <w:spacing w:after="0" w:line="240" w:lineRule="auto"/>
        <w:jc w:val="both"/>
      </w:pPr>
      <w:r>
        <w:t>depending on the date of withdrawal.</w:t>
      </w:r>
    </w:p>
    <w:p w14:paraId="39ADE3E2" w14:textId="77777777" w:rsidR="00C628AE" w:rsidRDefault="00C628AE" w:rsidP="009268A8">
      <w:pPr>
        <w:spacing w:after="0" w:line="240" w:lineRule="auto"/>
        <w:jc w:val="both"/>
      </w:pPr>
    </w:p>
    <w:p w14:paraId="317E54D4" w14:textId="77777777" w:rsidR="009268A8" w:rsidRDefault="009268A8" w:rsidP="009268A8">
      <w:pPr>
        <w:spacing w:after="0" w:line="240" w:lineRule="auto"/>
        <w:jc w:val="both"/>
      </w:pPr>
      <w:r>
        <w:t>Where an employer/sponsor pays:</w:t>
      </w:r>
    </w:p>
    <w:p w14:paraId="568905EE" w14:textId="1C5AF808" w:rsidR="009268A8" w:rsidRDefault="009268A8" w:rsidP="00C628AE">
      <w:pPr>
        <w:pStyle w:val="ListParagraph"/>
        <w:numPr>
          <w:ilvl w:val="0"/>
          <w:numId w:val="9"/>
        </w:numPr>
        <w:spacing w:after="0" w:line="240" w:lineRule="auto"/>
        <w:jc w:val="both"/>
      </w:pPr>
      <w:r>
        <w:t>for a Higher Apprenticeship, the college will comply with relevant ESFA funding regulations</w:t>
      </w:r>
    </w:p>
    <w:p w14:paraId="61B56F26" w14:textId="2F7B8B02" w:rsidR="009268A8" w:rsidRDefault="009268A8" w:rsidP="00C628AE">
      <w:pPr>
        <w:pStyle w:val="ListParagraph"/>
        <w:numPr>
          <w:ilvl w:val="0"/>
          <w:numId w:val="9"/>
        </w:numPr>
        <w:spacing w:after="0" w:line="240" w:lineRule="auto"/>
        <w:jc w:val="both"/>
      </w:pPr>
      <w:r>
        <w:t xml:space="preserve">for all other HE courses, the employer accepts liability for the full fees for the year and </w:t>
      </w:r>
    </w:p>
    <w:p w14:paraId="35C3D5E5" w14:textId="1DCA95F5" w:rsidR="00A726EF" w:rsidRDefault="009268A8" w:rsidP="00C628AE">
      <w:pPr>
        <w:spacing w:after="0" w:line="240" w:lineRule="auto"/>
        <w:jc w:val="both"/>
      </w:pPr>
      <w:r>
        <w:lastRenderedPageBreak/>
        <w:t>requests for refunds would only be considered in line with the Refunds Policy (section 9.6 refers)</w:t>
      </w:r>
      <w:r w:rsidR="00C628AE">
        <w:t>.</w:t>
      </w:r>
    </w:p>
    <w:p w14:paraId="2DE14B42" w14:textId="77777777" w:rsidR="00A726EF" w:rsidRDefault="00A726EF" w:rsidP="00B84FA0">
      <w:pPr>
        <w:spacing w:after="0" w:line="240" w:lineRule="auto"/>
        <w:jc w:val="both"/>
      </w:pPr>
    </w:p>
    <w:p w14:paraId="2960D3D1" w14:textId="77777777" w:rsidR="00B84FA0" w:rsidRDefault="00B84FA0" w:rsidP="00B84FA0">
      <w:pPr>
        <w:spacing w:after="0" w:line="240" w:lineRule="auto"/>
        <w:jc w:val="both"/>
      </w:pPr>
    </w:p>
    <w:p w14:paraId="2FF89BFC" w14:textId="31EC8112" w:rsidR="00271AA4" w:rsidRDefault="00C628AE" w:rsidP="00271AA4">
      <w:pPr>
        <w:pStyle w:val="ListParagraph"/>
        <w:numPr>
          <w:ilvl w:val="1"/>
          <w:numId w:val="2"/>
        </w:numPr>
        <w:spacing w:after="0" w:line="240" w:lineRule="auto"/>
        <w:jc w:val="both"/>
        <w:rPr>
          <w:b/>
          <w:bCs/>
        </w:rPr>
      </w:pPr>
      <w:bookmarkStart w:id="1" w:name="_Hlk175911900"/>
      <w:r w:rsidRPr="00C628AE">
        <w:rPr>
          <w:b/>
          <w:bCs/>
        </w:rPr>
        <w:t xml:space="preserve">Payment </w:t>
      </w:r>
    </w:p>
    <w:bookmarkEnd w:id="1"/>
    <w:p w14:paraId="4A8BCA84" w14:textId="77777777" w:rsidR="00C628AE" w:rsidRDefault="00C628AE" w:rsidP="00C628AE">
      <w:pPr>
        <w:spacing w:after="0" w:line="240" w:lineRule="auto"/>
        <w:jc w:val="both"/>
        <w:rPr>
          <w:b/>
          <w:bCs/>
        </w:rPr>
      </w:pPr>
    </w:p>
    <w:p w14:paraId="0C626673" w14:textId="77777777" w:rsidR="007B5267" w:rsidRPr="00E30070" w:rsidRDefault="007B5267" w:rsidP="007B5267">
      <w:pPr>
        <w:spacing w:after="0" w:line="240" w:lineRule="auto"/>
        <w:jc w:val="both"/>
      </w:pPr>
      <w:r w:rsidRPr="00E30070">
        <w:t>Course fees are due and must be paid by the student in full at enrolment, unless:</w:t>
      </w:r>
    </w:p>
    <w:p w14:paraId="3600F251" w14:textId="6ADDF4F1" w:rsidR="007B5267" w:rsidRPr="00E30070" w:rsidRDefault="007B5267" w:rsidP="002A7D28">
      <w:pPr>
        <w:pStyle w:val="ListParagraph"/>
        <w:numPr>
          <w:ilvl w:val="0"/>
          <w:numId w:val="11"/>
        </w:numPr>
        <w:spacing w:after="0" w:line="240" w:lineRule="auto"/>
        <w:jc w:val="both"/>
      </w:pPr>
      <w:r w:rsidRPr="00E30070">
        <w:t xml:space="preserve">An employer has provided written authority to the college that they accept liability for the </w:t>
      </w:r>
    </w:p>
    <w:p w14:paraId="5D5CCB2A" w14:textId="77777777" w:rsidR="007B5267" w:rsidRPr="00E30070" w:rsidRDefault="007B5267" w:rsidP="002A7D28">
      <w:pPr>
        <w:spacing w:after="0" w:line="240" w:lineRule="auto"/>
        <w:jc w:val="both"/>
      </w:pPr>
      <w:r w:rsidRPr="00E30070">
        <w:t>student’s fees with invoicing details</w:t>
      </w:r>
    </w:p>
    <w:p w14:paraId="4BEAFDDF" w14:textId="144A7F60" w:rsidR="007B5267" w:rsidRPr="00E30070" w:rsidRDefault="007B5267" w:rsidP="002A7D28">
      <w:pPr>
        <w:pStyle w:val="ListParagraph"/>
        <w:numPr>
          <w:ilvl w:val="0"/>
          <w:numId w:val="11"/>
        </w:numPr>
        <w:spacing w:after="0" w:line="240" w:lineRule="auto"/>
        <w:jc w:val="both"/>
      </w:pPr>
      <w:r w:rsidRPr="00E30070">
        <w:t xml:space="preserve">The student provides written evidence of a valid student loan, or career development loan </w:t>
      </w:r>
    </w:p>
    <w:p w14:paraId="111A3845" w14:textId="77777777" w:rsidR="007B5267" w:rsidRPr="00E30070" w:rsidRDefault="007B5267" w:rsidP="002A7D28">
      <w:pPr>
        <w:spacing w:after="0" w:line="240" w:lineRule="auto"/>
        <w:jc w:val="both"/>
      </w:pPr>
      <w:r w:rsidRPr="00E30070">
        <w:t>funding</w:t>
      </w:r>
    </w:p>
    <w:p w14:paraId="540B28A5" w14:textId="3566DE29" w:rsidR="00C628AE" w:rsidRPr="00E30070" w:rsidRDefault="007B5267" w:rsidP="002A7D28">
      <w:pPr>
        <w:pStyle w:val="ListParagraph"/>
        <w:numPr>
          <w:ilvl w:val="0"/>
          <w:numId w:val="11"/>
        </w:numPr>
        <w:spacing w:after="0" w:line="240" w:lineRule="auto"/>
        <w:jc w:val="both"/>
      </w:pPr>
      <w:r w:rsidRPr="00E30070">
        <w:t>The student has completed a direct debit or Instalment agreement to pay the fees</w:t>
      </w:r>
      <w:r w:rsidR="002A7D28">
        <w:t>.</w:t>
      </w:r>
    </w:p>
    <w:p w14:paraId="1D74B341" w14:textId="77777777" w:rsidR="00C628AE" w:rsidRPr="00E30070" w:rsidRDefault="00C628AE" w:rsidP="00C628AE">
      <w:pPr>
        <w:spacing w:after="0" w:line="240" w:lineRule="auto"/>
        <w:jc w:val="both"/>
      </w:pPr>
    </w:p>
    <w:p w14:paraId="1E2A33D5" w14:textId="77777777" w:rsidR="007B5267" w:rsidRPr="00E30070" w:rsidRDefault="007B5267" w:rsidP="007B5267">
      <w:pPr>
        <w:spacing w:after="0" w:line="240" w:lineRule="auto"/>
        <w:jc w:val="both"/>
      </w:pPr>
      <w:r w:rsidRPr="00E30070">
        <w:t xml:space="preserve">Students who do not secure loan finance from a funding body such as SFE or have their fees paid </w:t>
      </w:r>
    </w:p>
    <w:p w14:paraId="54133118" w14:textId="77777777" w:rsidR="007B5267" w:rsidRPr="00E30070" w:rsidRDefault="007B5267" w:rsidP="007B5267">
      <w:pPr>
        <w:spacing w:after="0" w:line="240" w:lineRule="auto"/>
        <w:jc w:val="both"/>
      </w:pPr>
      <w:r w:rsidRPr="00E30070">
        <w:t xml:space="preserve">by their employer are advised to </w:t>
      </w:r>
      <w:proofErr w:type="gramStart"/>
      <w:r w:rsidRPr="00E30070">
        <w:t>make arrangements</w:t>
      </w:r>
      <w:proofErr w:type="gramEnd"/>
      <w:r w:rsidRPr="00E30070">
        <w:t xml:space="preserve"> to pay their tuition fees via a direct debit </w:t>
      </w:r>
    </w:p>
    <w:p w14:paraId="7F4F40D4" w14:textId="77777777" w:rsidR="007B5267" w:rsidRPr="00E30070" w:rsidRDefault="007B5267" w:rsidP="007B5267">
      <w:pPr>
        <w:spacing w:after="0" w:line="240" w:lineRule="auto"/>
        <w:jc w:val="both"/>
      </w:pPr>
      <w:r w:rsidRPr="00E30070">
        <w:t xml:space="preserve">instalment plan unless they have </w:t>
      </w:r>
      <w:proofErr w:type="gramStart"/>
      <w:r w:rsidRPr="00E30070">
        <w:t>made arrangements</w:t>
      </w:r>
      <w:proofErr w:type="gramEnd"/>
      <w:r w:rsidRPr="00E30070">
        <w:t xml:space="preserve"> to pay their fees in full at enrolment.</w:t>
      </w:r>
    </w:p>
    <w:p w14:paraId="1E77006D" w14:textId="77777777" w:rsidR="007B5267" w:rsidRPr="00E30070" w:rsidRDefault="007B5267" w:rsidP="007B5267">
      <w:pPr>
        <w:spacing w:after="0" w:line="240" w:lineRule="auto"/>
        <w:jc w:val="both"/>
      </w:pPr>
      <w:r w:rsidRPr="00E30070">
        <w:t xml:space="preserve">Where an employer/sponsor has agreed to pay the fees, the college will invoice the </w:t>
      </w:r>
    </w:p>
    <w:p w14:paraId="56580F5E" w14:textId="77777777" w:rsidR="007B5267" w:rsidRPr="00E30070" w:rsidRDefault="007B5267" w:rsidP="007B5267">
      <w:pPr>
        <w:spacing w:after="0" w:line="240" w:lineRule="auto"/>
        <w:jc w:val="both"/>
      </w:pPr>
      <w:r w:rsidRPr="00E30070">
        <w:t xml:space="preserve">employer/sponsor for the full annual fee at the beginning of the academic year. Should the </w:t>
      </w:r>
    </w:p>
    <w:p w14:paraId="0B5264B7" w14:textId="61078CAD" w:rsidR="007B5267" w:rsidRPr="00E30070" w:rsidRDefault="007B5267" w:rsidP="007B5267">
      <w:pPr>
        <w:spacing w:after="0" w:line="240" w:lineRule="auto"/>
        <w:jc w:val="both"/>
      </w:pPr>
      <w:r>
        <w:t xml:space="preserve">employer/sponsor </w:t>
      </w:r>
      <w:proofErr w:type="gramStart"/>
      <w:r>
        <w:t>not</w:t>
      </w:r>
      <w:r w:rsidR="058A5EAF">
        <w:t xml:space="preserve"> </w:t>
      </w:r>
      <w:r>
        <w:t>settle</w:t>
      </w:r>
      <w:proofErr w:type="gramEnd"/>
      <w:r>
        <w:t xml:space="preserve"> the invoice within the payment terms, the college will invoice the student </w:t>
      </w:r>
    </w:p>
    <w:p w14:paraId="1C6BC00A" w14:textId="72EE729B" w:rsidR="00C628AE" w:rsidRPr="00E30070" w:rsidRDefault="007B5267" w:rsidP="007B5267">
      <w:pPr>
        <w:spacing w:after="0" w:line="240" w:lineRule="auto"/>
        <w:jc w:val="both"/>
      </w:pPr>
      <w:r w:rsidRPr="00E30070">
        <w:t>and will follow the procedure in section 9.5 to pursue the unpaid fee.</w:t>
      </w:r>
    </w:p>
    <w:p w14:paraId="29F9D5C4" w14:textId="77777777" w:rsidR="00C628AE" w:rsidRDefault="00C628AE" w:rsidP="00C628AE">
      <w:pPr>
        <w:spacing w:after="0" w:line="240" w:lineRule="auto"/>
        <w:jc w:val="both"/>
        <w:rPr>
          <w:b/>
          <w:bCs/>
        </w:rPr>
      </w:pPr>
    </w:p>
    <w:p w14:paraId="25C2D9DD" w14:textId="77777777" w:rsidR="000A657B" w:rsidRDefault="000A657B" w:rsidP="000A657B">
      <w:pPr>
        <w:pStyle w:val="ListParagraph"/>
        <w:numPr>
          <w:ilvl w:val="1"/>
          <w:numId w:val="2"/>
        </w:numPr>
        <w:spacing w:after="0" w:line="240" w:lineRule="auto"/>
        <w:jc w:val="both"/>
        <w:rPr>
          <w:b/>
          <w:bCs/>
        </w:rPr>
      </w:pPr>
      <w:r>
        <w:rPr>
          <w:b/>
          <w:bCs/>
        </w:rPr>
        <w:t>Debt and Debt Collection</w:t>
      </w:r>
    </w:p>
    <w:p w14:paraId="11CECD41" w14:textId="77777777" w:rsidR="00A831A7" w:rsidRDefault="00A831A7" w:rsidP="00A831A7">
      <w:pPr>
        <w:spacing w:after="0" w:line="240" w:lineRule="auto"/>
        <w:jc w:val="both"/>
        <w:rPr>
          <w:b/>
          <w:bCs/>
        </w:rPr>
      </w:pPr>
    </w:p>
    <w:p w14:paraId="3AECFE49" w14:textId="1AF19FF3" w:rsidR="00A831A7" w:rsidRPr="00027621" w:rsidRDefault="00A831A7" w:rsidP="00A831A7">
      <w:pPr>
        <w:spacing w:after="0" w:line="240" w:lineRule="auto"/>
        <w:jc w:val="both"/>
      </w:pPr>
      <w:r w:rsidRPr="00027621">
        <w:t xml:space="preserve">If arrangements to pay tuition fees are not made by the student at the point of registration, the college will subsequently make every effort to remind students that fees are due. However, these are reminders only and students are responsible for paying fees on time whether reminders are received or not. </w:t>
      </w:r>
    </w:p>
    <w:p w14:paraId="7093675A" w14:textId="77777777" w:rsidR="00A831A7" w:rsidRPr="00027621" w:rsidRDefault="00A831A7" w:rsidP="00A831A7">
      <w:pPr>
        <w:spacing w:after="0" w:line="240" w:lineRule="auto"/>
        <w:jc w:val="both"/>
      </w:pPr>
    </w:p>
    <w:p w14:paraId="30E4117C" w14:textId="77777777" w:rsidR="00A831A7" w:rsidRPr="00027621" w:rsidRDefault="00A831A7" w:rsidP="00A831A7">
      <w:pPr>
        <w:spacing w:after="0" w:line="240" w:lineRule="auto"/>
        <w:jc w:val="both"/>
      </w:pPr>
      <w:r w:rsidRPr="00027621">
        <w:t xml:space="preserve">If a student fails to </w:t>
      </w:r>
      <w:proofErr w:type="gramStart"/>
      <w:r w:rsidRPr="00027621">
        <w:t>make arrangements</w:t>
      </w:r>
      <w:proofErr w:type="gramEnd"/>
      <w:r w:rsidRPr="00027621">
        <w:t xml:space="preserve"> to pay fees they will be withdrawn from their course. Even </w:t>
      </w:r>
    </w:p>
    <w:p w14:paraId="387F8928" w14:textId="77777777" w:rsidR="00A831A7" w:rsidRPr="00027621" w:rsidRDefault="00A831A7" w:rsidP="00A831A7">
      <w:pPr>
        <w:spacing w:after="0" w:line="240" w:lineRule="auto"/>
        <w:jc w:val="both"/>
      </w:pPr>
      <w:r w:rsidRPr="00027621">
        <w:t xml:space="preserve">though they are no longer a student, they will still be liable to pay the portion of the tuition fee, per </w:t>
      </w:r>
    </w:p>
    <w:p w14:paraId="0FBD8579" w14:textId="77777777" w:rsidR="00A831A7" w:rsidRPr="00027621" w:rsidRDefault="00A831A7" w:rsidP="00A831A7">
      <w:pPr>
        <w:spacing w:after="0" w:line="240" w:lineRule="auto"/>
        <w:jc w:val="both"/>
      </w:pPr>
      <w:r w:rsidRPr="00027621">
        <w:t>the SFE table above.</w:t>
      </w:r>
    </w:p>
    <w:p w14:paraId="71A13870" w14:textId="77777777" w:rsidR="00A831A7" w:rsidRPr="00027621" w:rsidRDefault="00A831A7" w:rsidP="00A831A7">
      <w:pPr>
        <w:spacing w:after="0" w:line="240" w:lineRule="auto"/>
        <w:jc w:val="both"/>
      </w:pPr>
    </w:p>
    <w:p w14:paraId="74B62070" w14:textId="77777777" w:rsidR="00A831A7" w:rsidRPr="00027621" w:rsidRDefault="00A831A7" w:rsidP="00A831A7">
      <w:pPr>
        <w:spacing w:after="0" w:line="240" w:lineRule="auto"/>
        <w:jc w:val="both"/>
      </w:pPr>
      <w:r w:rsidRPr="00027621">
        <w:t xml:space="preserve">Students who agree an instalment plan with the college will receive written confirmation from the </w:t>
      </w:r>
    </w:p>
    <w:p w14:paraId="0A074C59" w14:textId="77777777" w:rsidR="00A831A7" w:rsidRPr="00027621" w:rsidRDefault="00A831A7" w:rsidP="00A831A7">
      <w:pPr>
        <w:spacing w:after="0" w:line="240" w:lineRule="auto"/>
        <w:jc w:val="both"/>
      </w:pPr>
      <w:r w:rsidRPr="00027621">
        <w:t xml:space="preserve">college of direct debit instalment dates and amounts at least ten days before the first payment is </w:t>
      </w:r>
    </w:p>
    <w:p w14:paraId="550895EC" w14:textId="77777777" w:rsidR="00A831A7" w:rsidRPr="00027621" w:rsidRDefault="00A831A7" w:rsidP="00A831A7">
      <w:pPr>
        <w:spacing w:after="0" w:line="240" w:lineRule="auto"/>
        <w:jc w:val="both"/>
      </w:pPr>
      <w:r w:rsidRPr="00027621">
        <w:t>due. The college will not send reminders about individual instalments.</w:t>
      </w:r>
    </w:p>
    <w:p w14:paraId="645BD6A4" w14:textId="77777777" w:rsidR="00A831A7" w:rsidRPr="00027621" w:rsidRDefault="00A831A7" w:rsidP="00A831A7">
      <w:pPr>
        <w:spacing w:after="0" w:line="240" w:lineRule="auto"/>
        <w:jc w:val="both"/>
      </w:pPr>
    </w:p>
    <w:p w14:paraId="456C634A" w14:textId="77777777" w:rsidR="00A831A7" w:rsidRPr="00027621" w:rsidRDefault="00A831A7" w:rsidP="00A831A7">
      <w:pPr>
        <w:spacing w:after="0" w:line="240" w:lineRule="auto"/>
        <w:jc w:val="both"/>
      </w:pPr>
      <w:r w:rsidRPr="00027621">
        <w:t xml:space="preserve">In the event of a failed instalment payment or cancelled direct debit, the option of payment by </w:t>
      </w:r>
    </w:p>
    <w:p w14:paraId="6A29DE94" w14:textId="77777777" w:rsidR="00A831A7" w:rsidRPr="00027621" w:rsidRDefault="00A831A7" w:rsidP="00A831A7">
      <w:pPr>
        <w:spacing w:after="0" w:line="240" w:lineRule="auto"/>
        <w:jc w:val="both"/>
      </w:pPr>
      <w:r w:rsidRPr="00027621">
        <w:t xml:space="preserve">instalment will cease and all outstanding fees will be due immediately. </w:t>
      </w:r>
    </w:p>
    <w:p w14:paraId="4E68DB14" w14:textId="77777777" w:rsidR="00A831A7" w:rsidRPr="00027621" w:rsidRDefault="00A831A7" w:rsidP="00A831A7">
      <w:pPr>
        <w:spacing w:after="0" w:line="240" w:lineRule="auto"/>
        <w:jc w:val="both"/>
      </w:pPr>
    </w:p>
    <w:p w14:paraId="634CC5A8" w14:textId="77777777" w:rsidR="00A831A7" w:rsidRPr="00027621" w:rsidRDefault="00A831A7" w:rsidP="00A831A7">
      <w:pPr>
        <w:spacing w:after="0" w:line="240" w:lineRule="auto"/>
        <w:jc w:val="both"/>
      </w:pPr>
      <w:r w:rsidRPr="00027621">
        <w:t xml:space="preserve">If a student knows in advance that a direct debit will fail, it is essential that they contact the Finance </w:t>
      </w:r>
    </w:p>
    <w:p w14:paraId="13479B78" w14:textId="77777777" w:rsidR="00A831A7" w:rsidRPr="00027621" w:rsidRDefault="00A831A7" w:rsidP="00A831A7">
      <w:pPr>
        <w:spacing w:after="0" w:line="240" w:lineRule="auto"/>
        <w:jc w:val="both"/>
      </w:pPr>
      <w:r w:rsidRPr="00027621">
        <w:t>office immediately in person or telephone to agree alternative arrangements for payment.</w:t>
      </w:r>
    </w:p>
    <w:p w14:paraId="40A1AE54" w14:textId="77777777" w:rsidR="00027621" w:rsidRPr="00027621" w:rsidRDefault="00027621" w:rsidP="00A831A7">
      <w:pPr>
        <w:spacing w:after="0" w:line="240" w:lineRule="auto"/>
        <w:jc w:val="both"/>
      </w:pPr>
    </w:p>
    <w:p w14:paraId="3D24117A" w14:textId="77777777" w:rsidR="00A831A7" w:rsidRPr="00027621" w:rsidRDefault="00A831A7" w:rsidP="00A831A7">
      <w:pPr>
        <w:spacing w:after="0" w:line="240" w:lineRule="auto"/>
        <w:jc w:val="both"/>
      </w:pPr>
      <w:r w:rsidRPr="00027621">
        <w:t xml:space="preserve">If a student does not secure loan finance for their fees by the end of the calendar month in which </w:t>
      </w:r>
    </w:p>
    <w:p w14:paraId="2BBF48B8" w14:textId="77777777" w:rsidR="00A831A7" w:rsidRPr="00027621" w:rsidRDefault="00A831A7" w:rsidP="00A831A7">
      <w:pPr>
        <w:spacing w:after="0" w:line="240" w:lineRule="auto"/>
        <w:jc w:val="both"/>
      </w:pPr>
      <w:r w:rsidRPr="00027621">
        <w:t xml:space="preserve">they enrol, or the employer/sponsor does not pay the invoice, the college reserves the right to raise </w:t>
      </w:r>
    </w:p>
    <w:p w14:paraId="645574B0" w14:textId="77777777" w:rsidR="00A831A7" w:rsidRPr="00027621" w:rsidRDefault="00A831A7" w:rsidP="00A831A7">
      <w:pPr>
        <w:spacing w:after="0" w:line="240" w:lineRule="auto"/>
        <w:jc w:val="both"/>
      </w:pPr>
      <w:r w:rsidRPr="00027621">
        <w:t xml:space="preserve">an invoice to the student at the beginning of the next calendar month, which must be settled </w:t>
      </w:r>
    </w:p>
    <w:p w14:paraId="3D6A6678" w14:textId="77777777" w:rsidR="00A831A7" w:rsidRPr="00027621" w:rsidRDefault="00A831A7" w:rsidP="00A831A7">
      <w:pPr>
        <w:spacing w:after="0" w:line="240" w:lineRule="auto"/>
        <w:jc w:val="both"/>
      </w:pPr>
      <w:r w:rsidRPr="00027621">
        <w:t xml:space="preserve">immediately. The college may agree to settlement via a direct debit instalment plan. If the student </w:t>
      </w:r>
    </w:p>
    <w:p w14:paraId="35E9DDF7" w14:textId="77777777" w:rsidR="00A831A7" w:rsidRPr="00027621" w:rsidRDefault="00A831A7" w:rsidP="00A831A7">
      <w:pPr>
        <w:spacing w:after="0" w:line="240" w:lineRule="auto"/>
        <w:jc w:val="both"/>
      </w:pPr>
      <w:r w:rsidRPr="00027621">
        <w:t xml:space="preserve">does not pay the fee in full nor agree a payment plan, the college reserves the right to prevent the </w:t>
      </w:r>
    </w:p>
    <w:p w14:paraId="67F5146F" w14:textId="77777777" w:rsidR="00A831A7" w:rsidRPr="00027621" w:rsidRDefault="00A831A7" w:rsidP="00A831A7">
      <w:pPr>
        <w:spacing w:after="0" w:line="240" w:lineRule="auto"/>
        <w:jc w:val="both"/>
      </w:pPr>
      <w:r w:rsidRPr="00027621">
        <w:t>student from attending classes or participating in other teaching, learning or assessment activities</w:t>
      </w:r>
    </w:p>
    <w:p w14:paraId="401DE002" w14:textId="77777777" w:rsidR="00A831A7" w:rsidRPr="00027621" w:rsidRDefault="00A831A7" w:rsidP="00A831A7">
      <w:pPr>
        <w:spacing w:after="0" w:line="240" w:lineRule="auto"/>
        <w:jc w:val="both"/>
      </w:pPr>
      <w:r w:rsidRPr="00027621">
        <w:t>until satisfactory arrangements for payment of all outstanding fees have been made.</w:t>
      </w:r>
    </w:p>
    <w:p w14:paraId="25AB01E6" w14:textId="77777777" w:rsidR="00027621" w:rsidRPr="00027621" w:rsidRDefault="00027621" w:rsidP="00A831A7">
      <w:pPr>
        <w:spacing w:after="0" w:line="240" w:lineRule="auto"/>
        <w:jc w:val="both"/>
      </w:pPr>
    </w:p>
    <w:p w14:paraId="552785F7" w14:textId="77777777" w:rsidR="00A831A7" w:rsidRPr="00027621" w:rsidRDefault="00A831A7" w:rsidP="00A831A7">
      <w:pPr>
        <w:spacing w:after="0" w:line="240" w:lineRule="auto"/>
        <w:jc w:val="both"/>
      </w:pPr>
      <w:r w:rsidRPr="00027621">
        <w:t xml:space="preserve">On an exceptional basis, where the student has special extenuating circumstances, the Executive </w:t>
      </w:r>
    </w:p>
    <w:p w14:paraId="684B3B61" w14:textId="77777777" w:rsidR="00A831A7" w:rsidRPr="00027621" w:rsidRDefault="00A831A7" w:rsidP="00A831A7">
      <w:pPr>
        <w:spacing w:after="0" w:line="240" w:lineRule="auto"/>
        <w:jc w:val="both"/>
      </w:pPr>
      <w:r w:rsidRPr="00027621">
        <w:t xml:space="preserve">Director of Finance may approve an individual payment plan with a student. If the student fails to </w:t>
      </w:r>
    </w:p>
    <w:p w14:paraId="7C34A2CF" w14:textId="67F81889" w:rsidR="00A831A7" w:rsidRPr="00027621" w:rsidRDefault="00A831A7" w:rsidP="00A831A7">
      <w:pPr>
        <w:spacing w:after="0" w:line="240" w:lineRule="auto"/>
        <w:jc w:val="both"/>
      </w:pPr>
      <w:r w:rsidRPr="00027621">
        <w:lastRenderedPageBreak/>
        <w:t xml:space="preserve">comply with the terms of an exceptional payment plan, the payment plan shall cease with immediate effect and any outstanding balance of fees will be due for immediate payment. Students </w:t>
      </w:r>
    </w:p>
    <w:p w14:paraId="0A56C721" w14:textId="77777777" w:rsidR="00A831A7" w:rsidRPr="00027621" w:rsidRDefault="00A831A7" w:rsidP="00A831A7">
      <w:pPr>
        <w:spacing w:after="0" w:line="240" w:lineRule="auto"/>
        <w:jc w:val="both"/>
      </w:pPr>
      <w:r w:rsidRPr="00027621">
        <w:t xml:space="preserve">experiencing financial difficulties should contact the Finance office as soon as they are aware of the </w:t>
      </w:r>
    </w:p>
    <w:p w14:paraId="3E21EE11" w14:textId="77777777" w:rsidR="00A831A7" w:rsidRPr="00027621" w:rsidRDefault="00A831A7" w:rsidP="00A831A7">
      <w:pPr>
        <w:spacing w:after="0" w:line="240" w:lineRule="auto"/>
        <w:jc w:val="both"/>
      </w:pPr>
      <w:r w:rsidRPr="00027621">
        <w:t>problem.</w:t>
      </w:r>
    </w:p>
    <w:p w14:paraId="1EA3220B" w14:textId="77777777" w:rsidR="00027621" w:rsidRPr="00027621" w:rsidRDefault="00027621" w:rsidP="00A831A7">
      <w:pPr>
        <w:spacing w:after="0" w:line="240" w:lineRule="auto"/>
        <w:jc w:val="both"/>
      </w:pPr>
    </w:p>
    <w:p w14:paraId="36B6DB0B" w14:textId="77777777" w:rsidR="00A831A7" w:rsidRPr="00027621" w:rsidRDefault="00A831A7" w:rsidP="00A831A7">
      <w:pPr>
        <w:spacing w:after="0" w:line="240" w:lineRule="auto"/>
        <w:jc w:val="both"/>
      </w:pPr>
      <w:r w:rsidRPr="00027621">
        <w:t xml:space="preserve">Where students breach the terms of an instalment agreement, the college will use appropriate debt </w:t>
      </w:r>
    </w:p>
    <w:p w14:paraId="1FFDF8CF" w14:textId="77777777" w:rsidR="00A831A7" w:rsidRPr="00027621" w:rsidRDefault="00A831A7" w:rsidP="00A831A7">
      <w:pPr>
        <w:spacing w:after="0" w:line="240" w:lineRule="auto"/>
        <w:jc w:val="both"/>
      </w:pPr>
      <w:r w:rsidRPr="00027621">
        <w:t xml:space="preserve">recovery procedures and may exclude the student from the college or remove their access to </w:t>
      </w:r>
    </w:p>
    <w:p w14:paraId="6D3EDF6F" w14:textId="77777777" w:rsidR="00A831A7" w:rsidRPr="00027621" w:rsidRDefault="00A831A7" w:rsidP="00A831A7">
      <w:pPr>
        <w:spacing w:after="0" w:line="240" w:lineRule="auto"/>
        <w:jc w:val="both"/>
      </w:pPr>
      <w:r w:rsidRPr="00027621">
        <w:t>teaching or services until the full debt is paid.</w:t>
      </w:r>
    </w:p>
    <w:p w14:paraId="701673F5" w14:textId="77777777" w:rsidR="00027621" w:rsidRPr="00027621" w:rsidRDefault="00027621" w:rsidP="00A831A7">
      <w:pPr>
        <w:spacing w:after="0" w:line="240" w:lineRule="auto"/>
        <w:jc w:val="both"/>
      </w:pPr>
    </w:p>
    <w:p w14:paraId="4973035B" w14:textId="51CC8318" w:rsidR="00A831A7" w:rsidRPr="00027621" w:rsidRDefault="00A831A7" w:rsidP="00A831A7">
      <w:pPr>
        <w:spacing w:after="0" w:line="240" w:lineRule="auto"/>
        <w:jc w:val="both"/>
      </w:pPr>
      <w:r w:rsidRPr="00027621">
        <w:t>The college refers unpaid debts to an external agency to pursue payment. A student with a debt that has been referred to an external agency will be liable for the reasonable additional costs incurred by the college and its agent in collecting the debt, such costs are added to the debt.</w:t>
      </w:r>
    </w:p>
    <w:p w14:paraId="5C548F8D" w14:textId="77777777" w:rsidR="00A831A7" w:rsidRPr="00027621" w:rsidRDefault="00A831A7" w:rsidP="00A831A7">
      <w:pPr>
        <w:spacing w:after="0" w:line="240" w:lineRule="auto"/>
        <w:jc w:val="both"/>
      </w:pPr>
      <w:r w:rsidRPr="00027621">
        <w:t xml:space="preserve">If a student completes the course with an outstanding tuition fee debt of more than £50 then, until </w:t>
      </w:r>
    </w:p>
    <w:p w14:paraId="3313F7BB" w14:textId="77777777" w:rsidR="00A831A7" w:rsidRPr="00027621" w:rsidRDefault="00A831A7" w:rsidP="00A831A7">
      <w:pPr>
        <w:spacing w:after="0" w:line="240" w:lineRule="auto"/>
        <w:jc w:val="both"/>
      </w:pPr>
      <w:r w:rsidRPr="00027621">
        <w:t>the debt is paid, the student will:</w:t>
      </w:r>
    </w:p>
    <w:p w14:paraId="550C5C37" w14:textId="77777777" w:rsidR="00027621" w:rsidRPr="00027621" w:rsidRDefault="00027621" w:rsidP="00A831A7">
      <w:pPr>
        <w:spacing w:after="0" w:line="240" w:lineRule="auto"/>
        <w:jc w:val="both"/>
      </w:pPr>
    </w:p>
    <w:p w14:paraId="20137CCE" w14:textId="6AE622AD" w:rsidR="00A831A7" w:rsidRPr="00027621" w:rsidRDefault="00A831A7" w:rsidP="00027621">
      <w:pPr>
        <w:pStyle w:val="ListParagraph"/>
        <w:numPr>
          <w:ilvl w:val="0"/>
          <w:numId w:val="11"/>
        </w:numPr>
        <w:spacing w:after="0" w:line="240" w:lineRule="auto"/>
        <w:jc w:val="both"/>
      </w:pPr>
      <w:r w:rsidRPr="00027621">
        <w:t>Not be permitted to re-register for new courses or to continue their course</w:t>
      </w:r>
    </w:p>
    <w:p w14:paraId="26A7A355" w14:textId="6D62EA78" w:rsidR="00A831A7" w:rsidRPr="00027621" w:rsidRDefault="00A831A7" w:rsidP="00027621">
      <w:pPr>
        <w:pStyle w:val="ListParagraph"/>
        <w:numPr>
          <w:ilvl w:val="0"/>
          <w:numId w:val="11"/>
        </w:numPr>
        <w:spacing w:after="0" w:line="240" w:lineRule="auto"/>
        <w:jc w:val="both"/>
      </w:pPr>
      <w:r w:rsidRPr="00027621">
        <w:t>Not be entered to take assessment or sit examinations pertaining to the course</w:t>
      </w:r>
    </w:p>
    <w:p w14:paraId="0831CC13" w14:textId="4200C753" w:rsidR="00A831A7" w:rsidRPr="00027621" w:rsidRDefault="00A831A7" w:rsidP="00027621">
      <w:pPr>
        <w:pStyle w:val="ListParagraph"/>
        <w:numPr>
          <w:ilvl w:val="0"/>
          <w:numId w:val="11"/>
        </w:numPr>
        <w:spacing w:after="0" w:line="240" w:lineRule="auto"/>
        <w:jc w:val="both"/>
      </w:pPr>
      <w:r w:rsidRPr="00027621">
        <w:t>Not be permitted to attend the Awards Ceremony or equivalent</w:t>
      </w:r>
    </w:p>
    <w:p w14:paraId="796EA05C" w14:textId="28D6C9DC" w:rsidR="00A831A7" w:rsidRPr="00027621" w:rsidRDefault="00A831A7" w:rsidP="00027621">
      <w:pPr>
        <w:pStyle w:val="ListParagraph"/>
        <w:numPr>
          <w:ilvl w:val="0"/>
          <w:numId w:val="11"/>
        </w:numPr>
        <w:spacing w:after="0" w:line="240" w:lineRule="auto"/>
        <w:jc w:val="both"/>
      </w:pPr>
      <w:r w:rsidRPr="00027621">
        <w:t xml:space="preserve">Not be issued with any academic references. </w:t>
      </w:r>
    </w:p>
    <w:p w14:paraId="1DE88093" w14:textId="77777777" w:rsidR="00027621" w:rsidRPr="00027621" w:rsidRDefault="00027621" w:rsidP="00A831A7">
      <w:pPr>
        <w:spacing w:after="0" w:line="240" w:lineRule="auto"/>
        <w:jc w:val="both"/>
      </w:pPr>
    </w:p>
    <w:p w14:paraId="240AD0C0" w14:textId="77777777" w:rsidR="00A831A7" w:rsidRPr="00027621" w:rsidRDefault="00A831A7" w:rsidP="00A831A7">
      <w:pPr>
        <w:spacing w:after="0" w:line="240" w:lineRule="auto"/>
        <w:jc w:val="both"/>
      </w:pPr>
      <w:r w:rsidRPr="00027621">
        <w:t xml:space="preserve">If a student owes the college any other debt (such as library fines, nursery fees, and tuition fees </w:t>
      </w:r>
    </w:p>
    <w:p w14:paraId="4DF71BCF" w14:textId="77777777" w:rsidR="00A831A7" w:rsidRPr="00027621" w:rsidRDefault="00A831A7" w:rsidP="00A831A7">
      <w:pPr>
        <w:spacing w:after="0" w:line="240" w:lineRule="auto"/>
        <w:jc w:val="both"/>
      </w:pPr>
      <w:r w:rsidRPr="00027621">
        <w:t>under £50), the college will use its debt procedures to recover these.</w:t>
      </w:r>
    </w:p>
    <w:p w14:paraId="4448CF4F" w14:textId="77777777" w:rsidR="00027621" w:rsidRPr="00027621" w:rsidRDefault="00027621" w:rsidP="00A831A7">
      <w:pPr>
        <w:spacing w:after="0" w:line="240" w:lineRule="auto"/>
        <w:jc w:val="both"/>
      </w:pPr>
    </w:p>
    <w:p w14:paraId="1BF2A7AC" w14:textId="30703A3E" w:rsidR="00A831A7" w:rsidRPr="00027621" w:rsidRDefault="00A831A7" w:rsidP="00A831A7">
      <w:pPr>
        <w:spacing w:after="0" w:line="240" w:lineRule="auto"/>
        <w:jc w:val="both"/>
      </w:pPr>
      <w:r w:rsidRPr="00027621">
        <w:t xml:space="preserve">Exceptions to the above (e.g. allowing a student to </w:t>
      </w:r>
      <w:r w:rsidR="0099741A" w:rsidRPr="00027621">
        <w:t>enrol</w:t>
      </w:r>
      <w:r w:rsidRPr="00027621">
        <w:t xml:space="preserve"> on a course when they are in debt to the </w:t>
      </w:r>
    </w:p>
    <w:p w14:paraId="4717324C" w14:textId="77777777" w:rsidR="00A831A7" w:rsidRPr="00027621" w:rsidRDefault="00A831A7" w:rsidP="00A831A7">
      <w:pPr>
        <w:spacing w:after="0" w:line="240" w:lineRule="auto"/>
        <w:jc w:val="both"/>
      </w:pPr>
      <w:r w:rsidRPr="00027621">
        <w:t xml:space="preserve">college for tuition fees for the same or a different course) will only be granted exceptionally and </w:t>
      </w:r>
    </w:p>
    <w:p w14:paraId="15FE0B90" w14:textId="3845F153" w:rsidR="00A831A7" w:rsidRPr="00027621" w:rsidRDefault="00A831A7" w:rsidP="00A831A7">
      <w:pPr>
        <w:spacing w:after="0" w:line="240" w:lineRule="auto"/>
        <w:jc w:val="both"/>
      </w:pPr>
      <w:r w:rsidRPr="00027621">
        <w:t>requires the express written approval of the Executive Director of Finance</w:t>
      </w:r>
      <w:r w:rsidR="00027621" w:rsidRPr="00027621">
        <w:t>.</w:t>
      </w:r>
    </w:p>
    <w:p w14:paraId="26C9E352" w14:textId="77777777" w:rsidR="00A831A7" w:rsidRPr="00A831A7" w:rsidRDefault="00A831A7" w:rsidP="00A831A7">
      <w:pPr>
        <w:spacing w:after="0" w:line="240" w:lineRule="auto"/>
        <w:jc w:val="both"/>
        <w:rPr>
          <w:b/>
          <w:bCs/>
        </w:rPr>
      </w:pPr>
    </w:p>
    <w:p w14:paraId="749010F0" w14:textId="53B1452C" w:rsidR="000A657B" w:rsidRDefault="000A657B" w:rsidP="000A657B">
      <w:pPr>
        <w:pStyle w:val="ListParagraph"/>
        <w:numPr>
          <w:ilvl w:val="1"/>
          <w:numId w:val="2"/>
        </w:numPr>
        <w:spacing w:after="0" w:line="240" w:lineRule="auto"/>
        <w:jc w:val="both"/>
        <w:rPr>
          <w:b/>
          <w:bCs/>
        </w:rPr>
      </w:pPr>
      <w:r>
        <w:rPr>
          <w:b/>
          <w:bCs/>
        </w:rPr>
        <w:t>Fee Refund Polic</w:t>
      </w:r>
      <w:r w:rsidR="00027621">
        <w:rPr>
          <w:b/>
          <w:bCs/>
        </w:rPr>
        <w:t>y</w:t>
      </w:r>
    </w:p>
    <w:p w14:paraId="67B20CD6" w14:textId="77777777" w:rsidR="00027621" w:rsidRDefault="00027621" w:rsidP="00027621">
      <w:pPr>
        <w:spacing w:after="0" w:line="240" w:lineRule="auto"/>
        <w:jc w:val="both"/>
        <w:rPr>
          <w:b/>
          <w:bCs/>
        </w:rPr>
      </w:pPr>
    </w:p>
    <w:p w14:paraId="603BD6C9" w14:textId="77777777" w:rsidR="00D47879" w:rsidRDefault="00D47879" w:rsidP="00027621">
      <w:pPr>
        <w:spacing w:after="0" w:line="240" w:lineRule="auto"/>
        <w:jc w:val="both"/>
      </w:pPr>
      <w:r>
        <w:t>The college will provide a full refund of fees when a course does not run or closes as a result of a decision by the college.</w:t>
      </w:r>
    </w:p>
    <w:p w14:paraId="411721A5" w14:textId="77777777" w:rsidR="00D47879" w:rsidRDefault="00D47879" w:rsidP="00027621">
      <w:pPr>
        <w:spacing w:after="0" w:line="240" w:lineRule="auto"/>
        <w:jc w:val="both"/>
      </w:pPr>
    </w:p>
    <w:p w14:paraId="06B23DD3" w14:textId="77777777" w:rsidR="004E07C3" w:rsidRDefault="00D47879" w:rsidP="00027621">
      <w:pPr>
        <w:spacing w:after="0" w:line="240" w:lineRule="auto"/>
        <w:jc w:val="both"/>
      </w:pPr>
      <w:r>
        <w:t xml:space="preserve">The full fee for a course is payable even if the student decides not to complete the course. The college will not grant refunds if a student decides to leave partway through an academic year. For self-funded and SFE funded students, the college may waive a portion of the fee owing at the date of withdrawal in line with the liability points in the SFE table (section 9.3 refers). </w:t>
      </w:r>
    </w:p>
    <w:p w14:paraId="67B1D0EC" w14:textId="77777777" w:rsidR="004E07C3" w:rsidRDefault="004E07C3" w:rsidP="00027621">
      <w:pPr>
        <w:spacing w:after="0" w:line="240" w:lineRule="auto"/>
        <w:jc w:val="both"/>
      </w:pPr>
    </w:p>
    <w:p w14:paraId="05B51BCD" w14:textId="77777777" w:rsidR="004E07C3" w:rsidRDefault="00D47879" w:rsidP="00027621">
      <w:pPr>
        <w:spacing w:after="0" w:line="240" w:lineRule="auto"/>
        <w:jc w:val="both"/>
      </w:pPr>
      <w:r>
        <w:t xml:space="preserve">The college will not refund to a student any fees paid on their behalf by the SLC or an employer. The college will give a fee waiver where it is appropriate under the college’s Terms and Conditions of enrolment or the Student Protection Plan. </w:t>
      </w:r>
    </w:p>
    <w:p w14:paraId="41A10673" w14:textId="77777777" w:rsidR="004E07C3" w:rsidRDefault="004E07C3" w:rsidP="00027621">
      <w:pPr>
        <w:spacing w:after="0" w:line="240" w:lineRule="auto"/>
        <w:jc w:val="both"/>
      </w:pPr>
    </w:p>
    <w:p w14:paraId="4DA7661B" w14:textId="77777777" w:rsidR="004E07C3" w:rsidRDefault="00D47879" w:rsidP="00027621">
      <w:pPr>
        <w:spacing w:after="0" w:line="240" w:lineRule="auto"/>
        <w:jc w:val="both"/>
      </w:pPr>
      <w:r>
        <w:t xml:space="preserve">The provisions under this policy do not affect the student’s statutory rights, where acting as a consumer. </w:t>
      </w:r>
    </w:p>
    <w:p w14:paraId="1CCA248C" w14:textId="77777777" w:rsidR="004E07C3" w:rsidRDefault="004E07C3" w:rsidP="00027621">
      <w:pPr>
        <w:spacing w:after="0" w:line="240" w:lineRule="auto"/>
        <w:jc w:val="both"/>
      </w:pPr>
    </w:p>
    <w:p w14:paraId="7680771E" w14:textId="32A1CB0D" w:rsidR="00027621" w:rsidRDefault="00D47879" w:rsidP="00027621">
      <w:pPr>
        <w:spacing w:after="0" w:line="240" w:lineRule="auto"/>
        <w:jc w:val="both"/>
      </w:pPr>
      <w:r w:rsidRPr="004E07C3">
        <w:rPr>
          <w:b/>
          <w:bCs/>
        </w:rPr>
        <w:t>Cooling Off Period:</w:t>
      </w:r>
      <w:r>
        <w:t xml:space="preserve"> The college may agree to provide a full refund of any fees paid where a student withdraws from their programme within 14 days of the course start date (typically the first date of attendance unless otherwise notified)</w:t>
      </w:r>
      <w:r w:rsidR="004E07C3">
        <w:t>.</w:t>
      </w:r>
    </w:p>
    <w:p w14:paraId="03F7746A" w14:textId="4739ACF2" w:rsidR="0099741A" w:rsidRDefault="0099741A" w:rsidP="00027621">
      <w:pPr>
        <w:spacing w:after="0" w:line="240" w:lineRule="auto"/>
        <w:jc w:val="both"/>
      </w:pPr>
    </w:p>
    <w:p w14:paraId="0AACA0BA" w14:textId="77777777" w:rsidR="0099741A" w:rsidRDefault="0099741A" w:rsidP="00027621">
      <w:pPr>
        <w:spacing w:after="0" w:line="240" w:lineRule="auto"/>
        <w:jc w:val="both"/>
        <w:rPr>
          <w:b/>
          <w:bCs/>
        </w:rPr>
      </w:pPr>
    </w:p>
    <w:p w14:paraId="3E8D33D9" w14:textId="77777777" w:rsidR="00027621" w:rsidRPr="00027621" w:rsidRDefault="00027621" w:rsidP="00027621">
      <w:pPr>
        <w:spacing w:after="0" w:line="240" w:lineRule="auto"/>
        <w:jc w:val="both"/>
        <w:rPr>
          <w:b/>
          <w:bCs/>
        </w:rPr>
      </w:pPr>
    </w:p>
    <w:p w14:paraId="5B6D8A9C" w14:textId="77777777" w:rsidR="000A657B" w:rsidRDefault="000A657B" w:rsidP="000A657B">
      <w:pPr>
        <w:pStyle w:val="ListParagraph"/>
        <w:numPr>
          <w:ilvl w:val="1"/>
          <w:numId w:val="2"/>
        </w:numPr>
        <w:spacing w:after="0" w:line="240" w:lineRule="auto"/>
        <w:jc w:val="both"/>
        <w:rPr>
          <w:b/>
          <w:bCs/>
        </w:rPr>
      </w:pPr>
      <w:r>
        <w:rPr>
          <w:b/>
          <w:bCs/>
        </w:rPr>
        <w:t xml:space="preserve">Annual review of fees and charges </w:t>
      </w:r>
    </w:p>
    <w:p w14:paraId="7D04563B" w14:textId="77777777" w:rsidR="00D8349D" w:rsidRDefault="00D8349D" w:rsidP="00D8349D">
      <w:pPr>
        <w:spacing w:after="0" w:line="240" w:lineRule="auto"/>
        <w:jc w:val="both"/>
        <w:rPr>
          <w:b/>
          <w:bCs/>
        </w:rPr>
      </w:pPr>
    </w:p>
    <w:p w14:paraId="61ABC2CA" w14:textId="77777777" w:rsidR="00D8349D" w:rsidRPr="00D8349D" w:rsidRDefault="00D8349D" w:rsidP="00D8349D">
      <w:pPr>
        <w:spacing w:after="0" w:line="240" w:lineRule="auto"/>
        <w:jc w:val="both"/>
      </w:pPr>
      <w:r w:rsidRPr="00D8349D">
        <w:t xml:space="preserve">Students should be aware that course fees are reviewed annually and may increase in line with </w:t>
      </w:r>
    </w:p>
    <w:p w14:paraId="0432C104" w14:textId="179433CA" w:rsidR="00D8349D" w:rsidRPr="00D8349D" w:rsidRDefault="00D8349D" w:rsidP="00D8349D">
      <w:pPr>
        <w:spacing w:after="0" w:line="240" w:lineRule="auto"/>
        <w:jc w:val="both"/>
      </w:pPr>
      <w:r w:rsidRPr="00D8349D">
        <w:t xml:space="preserve">inflation or as permitted by relevant regulations. Any inflationary or other increase will affect students starting new courses. The college will not increase fees for students continuing to the next year of the same course. Top up fees and changes in qualifications count as new courses and not </w:t>
      </w:r>
    </w:p>
    <w:p w14:paraId="10DE37FC" w14:textId="2A237A7D" w:rsidR="00D8349D" w:rsidRPr="00D8349D" w:rsidRDefault="00D8349D" w:rsidP="00D8349D">
      <w:pPr>
        <w:spacing w:after="0" w:line="240" w:lineRule="auto"/>
        <w:jc w:val="both"/>
      </w:pPr>
      <w:r w:rsidRPr="00D8349D">
        <w:t>continuations.</w:t>
      </w:r>
    </w:p>
    <w:p w14:paraId="66C4A82B" w14:textId="77777777" w:rsidR="00D8349D" w:rsidRPr="00D8349D" w:rsidRDefault="00D8349D" w:rsidP="00D8349D">
      <w:pPr>
        <w:spacing w:after="0" w:line="240" w:lineRule="auto"/>
        <w:jc w:val="both"/>
        <w:rPr>
          <w:b/>
          <w:bCs/>
        </w:rPr>
      </w:pPr>
    </w:p>
    <w:p w14:paraId="0DB412A1" w14:textId="6AE9DF38" w:rsidR="000A657B" w:rsidRPr="000A657B" w:rsidRDefault="000A657B" w:rsidP="000A657B">
      <w:pPr>
        <w:pStyle w:val="ListParagraph"/>
        <w:numPr>
          <w:ilvl w:val="1"/>
          <w:numId w:val="2"/>
        </w:numPr>
        <w:spacing w:after="0" w:line="240" w:lineRule="auto"/>
        <w:jc w:val="both"/>
        <w:rPr>
          <w:b/>
          <w:bCs/>
        </w:rPr>
      </w:pPr>
      <w:r>
        <w:rPr>
          <w:b/>
          <w:bCs/>
        </w:rPr>
        <w:t xml:space="preserve">Correspondence </w:t>
      </w:r>
      <w:r w:rsidRPr="000A657B">
        <w:rPr>
          <w:b/>
          <w:bCs/>
        </w:rPr>
        <w:t xml:space="preserve"> </w:t>
      </w:r>
    </w:p>
    <w:p w14:paraId="452CED8D" w14:textId="77777777" w:rsidR="00271AA4" w:rsidRDefault="00271AA4" w:rsidP="000A657B">
      <w:pPr>
        <w:spacing w:after="0" w:line="240" w:lineRule="auto"/>
        <w:jc w:val="both"/>
        <w:rPr>
          <w:b/>
          <w:bCs/>
        </w:rPr>
      </w:pPr>
    </w:p>
    <w:p w14:paraId="0E889D41" w14:textId="77777777" w:rsidR="00D8349D" w:rsidRDefault="00D8349D" w:rsidP="00D8349D">
      <w:pPr>
        <w:spacing w:after="0" w:line="240" w:lineRule="auto"/>
        <w:jc w:val="both"/>
      </w:pPr>
      <w:r>
        <w:t>Any correspondence regarding fees and charges should be addressed to:</w:t>
      </w:r>
    </w:p>
    <w:p w14:paraId="2A057871" w14:textId="77777777" w:rsidR="00D8349D" w:rsidRDefault="00D8349D" w:rsidP="00D8349D">
      <w:pPr>
        <w:spacing w:after="0" w:line="240" w:lineRule="auto"/>
        <w:jc w:val="both"/>
      </w:pPr>
      <w:r>
        <w:t>Executive Director of Finance:</w:t>
      </w:r>
    </w:p>
    <w:p w14:paraId="2EEA58E0" w14:textId="77777777" w:rsidR="00D8349D" w:rsidRDefault="00D8349D" w:rsidP="00D8349D">
      <w:pPr>
        <w:spacing w:after="0" w:line="240" w:lineRule="auto"/>
        <w:jc w:val="both"/>
      </w:pPr>
      <w:r>
        <w:t>The Sheffield College</w:t>
      </w:r>
    </w:p>
    <w:p w14:paraId="6F604A56" w14:textId="77777777" w:rsidR="00D8349D" w:rsidRDefault="00D8349D" w:rsidP="00D8349D">
      <w:pPr>
        <w:spacing w:after="0" w:line="240" w:lineRule="auto"/>
        <w:jc w:val="both"/>
      </w:pPr>
      <w:r>
        <w:t>Granville Road</w:t>
      </w:r>
    </w:p>
    <w:p w14:paraId="5C10B196" w14:textId="77777777" w:rsidR="00D8349D" w:rsidRDefault="00D8349D" w:rsidP="00D8349D">
      <w:pPr>
        <w:spacing w:after="0" w:line="240" w:lineRule="auto"/>
        <w:jc w:val="both"/>
      </w:pPr>
      <w:r>
        <w:t>Sheffield</w:t>
      </w:r>
    </w:p>
    <w:p w14:paraId="0779BA83" w14:textId="5668FE70" w:rsidR="00D8349D" w:rsidRDefault="00D8349D" w:rsidP="00D8349D">
      <w:pPr>
        <w:spacing w:after="0" w:line="240" w:lineRule="auto"/>
        <w:jc w:val="both"/>
      </w:pPr>
      <w:r>
        <w:t xml:space="preserve">S2 2RL </w:t>
      </w:r>
    </w:p>
    <w:p w14:paraId="3CA94964" w14:textId="77777777" w:rsidR="00D8349D" w:rsidRDefault="00D8349D" w:rsidP="00D8349D">
      <w:pPr>
        <w:spacing w:after="0" w:line="240" w:lineRule="auto"/>
        <w:jc w:val="both"/>
      </w:pPr>
    </w:p>
    <w:p w14:paraId="63F4E018" w14:textId="77777777" w:rsidR="00D8349D" w:rsidRDefault="00D8349D" w:rsidP="00D8349D">
      <w:pPr>
        <w:spacing w:after="0" w:line="240" w:lineRule="auto"/>
        <w:jc w:val="both"/>
      </w:pPr>
      <w:r>
        <w:t xml:space="preserve">Please note that there is no automatic right of appeal against any decision made in respect of a fee </w:t>
      </w:r>
    </w:p>
    <w:p w14:paraId="4445F4E0" w14:textId="77777777" w:rsidR="00D8349D" w:rsidRDefault="00D8349D" w:rsidP="00D8349D">
      <w:pPr>
        <w:spacing w:after="0" w:line="240" w:lineRule="auto"/>
        <w:jc w:val="both"/>
      </w:pPr>
      <w:r>
        <w:t xml:space="preserve">refund or waiver request. However, where a refund is not granted in line with this policy and there </w:t>
      </w:r>
    </w:p>
    <w:p w14:paraId="4AD00E64" w14:textId="77777777" w:rsidR="00D8349D" w:rsidRDefault="00D8349D" w:rsidP="00D8349D">
      <w:pPr>
        <w:spacing w:after="0" w:line="240" w:lineRule="auto"/>
        <w:jc w:val="both"/>
      </w:pPr>
      <w:r>
        <w:t xml:space="preserve">are specific considerations for appeals, this may be presented to the Deputy Principal at the same </w:t>
      </w:r>
    </w:p>
    <w:p w14:paraId="2AC4E414" w14:textId="77777777" w:rsidR="00D8349D" w:rsidRDefault="00D8349D" w:rsidP="00D8349D">
      <w:pPr>
        <w:spacing w:after="0" w:line="240" w:lineRule="auto"/>
        <w:jc w:val="both"/>
      </w:pPr>
      <w:r>
        <w:t>address above. Appeals will be considered on their individual merits and the Deputy Principal’s</w:t>
      </w:r>
    </w:p>
    <w:p w14:paraId="146839BA" w14:textId="45715B3E" w:rsidR="000A657B" w:rsidRDefault="00D8349D" w:rsidP="00D8349D">
      <w:pPr>
        <w:spacing w:after="0" w:line="240" w:lineRule="auto"/>
        <w:jc w:val="both"/>
      </w:pPr>
      <w:r>
        <w:t>decision is final.</w:t>
      </w:r>
    </w:p>
    <w:p w14:paraId="000000AD" w14:textId="65E4CBA6" w:rsidR="00D5218E" w:rsidRPr="000275AC" w:rsidRDefault="00D5218E" w:rsidP="000275AC">
      <w:pPr>
        <w:rPr>
          <w:b/>
          <w:color w:val="000000"/>
          <w:sz w:val="28"/>
          <w:szCs w:val="28"/>
          <w:highlight w:val="yellow"/>
        </w:rPr>
      </w:pPr>
    </w:p>
    <w:sectPr w:rsidR="00D5218E" w:rsidRPr="000275AC" w:rsidSect="00DB4588">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1379" w14:textId="77777777" w:rsidR="009A6FC4" w:rsidRDefault="009A6FC4">
      <w:pPr>
        <w:spacing w:after="0" w:line="240" w:lineRule="auto"/>
      </w:pPr>
      <w:r>
        <w:separator/>
      </w:r>
    </w:p>
  </w:endnote>
  <w:endnote w:type="continuationSeparator" w:id="0">
    <w:p w14:paraId="3FFEE46F" w14:textId="77777777" w:rsidR="009A6FC4" w:rsidRDefault="009A6FC4">
      <w:pPr>
        <w:spacing w:after="0" w:line="240" w:lineRule="auto"/>
      </w:pPr>
      <w:r>
        <w:continuationSeparator/>
      </w:r>
    </w:p>
  </w:endnote>
  <w:endnote w:type="continuationNotice" w:id="1">
    <w:p w14:paraId="5E447153" w14:textId="77777777" w:rsidR="009A6FC4" w:rsidRDefault="009A6F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8845"/>
      <w:docPartObj>
        <w:docPartGallery w:val="Page Numbers (Bottom of Page)"/>
        <w:docPartUnique/>
      </w:docPartObj>
    </w:sdtPr>
    <w:sdtEndPr>
      <w:rPr>
        <w:noProof/>
      </w:rPr>
    </w:sdtEndPr>
    <w:sdtContent>
      <w:p w14:paraId="315FDB5B" w14:textId="4E00610E" w:rsidR="00017A8A" w:rsidRDefault="00017A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0B1" w14:textId="77777777" w:rsidR="00D5218E" w:rsidRDefault="00D5218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91633"/>
      <w:docPartObj>
        <w:docPartGallery w:val="Page Numbers (Bottom of Page)"/>
        <w:docPartUnique/>
      </w:docPartObj>
    </w:sdtPr>
    <w:sdtEndPr>
      <w:rPr>
        <w:noProof/>
      </w:rPr>
    </w:sdtEndPr>
    <w:sdtContent>
      <w:p w14:paraId="54B2485A" w14:textId="3550EBA8" w:rsidR="00017A8A" w:rsidRDefault="00017A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A1B4BD" w14:textId="069FACAD" w:rsidR="00017A8A" w:rsidRDefault="00017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00C9" w14:textId="77777777" w:rsidR="009A6FC4" w:rsidRDefault="009A6FC4">
      <w:pPr>
        <w:spacing w:after="0" w:line="240" w:lineRule="auto"/>
      </w:pPr>
      <w:r>
        <w:separator/>
      </w:r>
    </w:p>
  </w:footnote>
  <w:footnote w:type="continuationSeparator" w:id="0">
    <w:p w14:paraId="0971BA5B" w14:textId="77777777" w:rsidR="009A6FC4" w:rsidRDefault="009A6FC4">
      <w:pPr>
        <w:spacing w:after="0" w:line="240" w:lineRule="auto"/>
      </w:pPr>
      <w:r>
        <w:continuationSeparator/>
      </w:r>
    </w:p>
  </w:footnote>
  <w:footnote w:type="continuationNotice" w:id="1">
    <w:p w14:paraId="06079F6F" w14:textId="77777777" w:rsidR="009A6FC4" w:rsidRDefault="009A6F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42E"/>
    <w:multiLevelType w:val="hybridMultilevel"/>
    <w:tmpl w:val="9F528D7C"/>
    <w:lvl w:ilvl="0" w:tplc="DCEA907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69299A"/>
    <w:multiLevelType w:val="hybridMultilevel"/>
    <w:tmpl w:val="593CC2EE"/>
    <w:lvl w:ilvl="0" w:tplc="DCEA907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B3F42"/>
    <w:multiLevelType w:val="hybridMultilevel"/>
    <w:tmpl w:val="24FE9E3E"/>
    <w:lvl w:ilvl="0" w:tplc="DCEA907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522E3"/>
    <w:multiLevelType w:val="multilevel"/>
    <w:tmpl w:val="086EB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561567"/>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9A41CB"/>
    <w:multiLevelType w:val="hybridMultilevel"/>
    <w:tmpl w:val="40123D44"/>
    <w:lvl w:ilvl="0" w:tplc="DCEA907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16F19"/>
    <w:multiLevelType w:val="hybridMultilevel"/>
    <w:tmpl w:val="DC8EAC84"/>
    <w:lvl w:ilvl="0" w:tplc="DCEA907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F08E2"/>
    <w:multiLevelType w:val="hybridMultilevel"/>
    <w:tmpl w:val="D2DE0D48"/>
    <w:lvl w:ilvl="0" w:tplc="DCEA907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1B2717"/>
    <w:multiLevelType w:val="hybridMultilevel"/>
    <w:tmpl w:val="9998F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5B0816"/>
    <w:multiLevelType w:val="hybridMultilevel"/>
    <w:tmpl w:val="EFA08970"/>
    <w:lvl w:ilvl="0" w:tplc="DCEA907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63558F"/>
    <w:multiLevelType w:val="hybridMultilevel"/>
    <w:tmpl w:val="35D8FF1A"/>
    <w:lvl w:ilvl="0" w:tplc="DCEA907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7531064">
    <w:abstractNumId w:val="3"/>
  </w:num>
  <w:num w:numId="2" w16cid:durableId="472673739">
    <w:abstractNumId w:val="4"/>
  </w:num>
  <w:num w:numId="3" w16cid:durableId="619729825">
    <w:abstractNumId w:val="8"/>
  </w:num>
  <w:num w:numId="4" w16cid:durableId="200292587">
    <w:abstractNumId w:val="0"/>
  </w:num>
  <w:num w:numId="5" w16cid:durableId="1100174745">
    <w:abstractNumId w:val="2"/>
  </w:num>
  <w:num w:numId="6" w16cid:durableId="1016154835">
    <w:abstractNumId w:val="9"/>
  </w:num>
  <w:num w:numId="7" w16cid:durableId="387609738">
    <w:abstractNumId w:val="10"/>
  </w:num>
  <w:num w:numId="8" w16cid:durableId="1210459035">
    <w:abstractNumId w:val="1"/>
  </w:num>
  <w:num w:numId="9" w16cid:durableId="676928818">
    <w:abstractNumId w:val="5"/>
  </w:num>
  <w:num w:numId="10" w16cid:durableId="1649436265">
    <w:abstractNumId w:val="7"/>
  </w:num>
  <w:num w:numId="11" w16cid:durableId="1090856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8E"/>
    <w:rsid w:val="00007DDA"/>
    <w:rsid w:val="00017A8A"/>
    <w:rsid w:val="0002010E"/>
    <w:rsid w:val="000275AC"/>
    <w:rsid w:val="00027621"/>
    <w:rsid w:val="0004041E"/>
    <w:rsid w:val="000917E7"/>
    <w:rsid w:val="00092767"/>
    <w:rsid w:val="000A5340"/>
    <w:rsid w:val="000A657B"/>
    <w:rsid w:val="000F2769"/>
    <w:rsid w:val="00101278"/>
    <w:rsid w:val="001118AA"/>
    <w:rsid w:val="001211B3"/>
    <w:rsid w:val="00125497"/>
    <w:rsid w:val="0012744F"/>
    <w:rsid w:val="0016532D"/>
    <w:rsid w:val="001E6AAB"/>
    <w:rsid w:val="00206C74"/>
    <w:rsid w:val="002127C6"/>
    <w:rsid w:val="00233642"/>
    <w:rsid w:val="00236CD3"/>
    <w:rsid w:val="00257962"/>
    <w:rsid w:val="00257CBF"/>
    <w:rsid w:val="00271AA4"/>
    <w:rsid w:val="00274889"/>
    <w:rsid w:val="002A7D28"/>
    <w:rsid w:val="002D6932"/>
    <w:rsid w:val="002E006B"/>
    <w:rsid w:val="002E1666"/>
    <w:rsid w:val="00320D00"/>
    <w:rsid w:val="00352354"/>
    <w:rsid w:val="00383A90"/>
    <w:rsid w:val="003A2AD1"/>
    <w:rsid w:val="003D4660"/>
    <w:rsid w:val="003D76C6"/>
    <w:rsid w:val="003E008A"/>
    <w:rsid w:val="003E51DB"/>
    <w:rsid w:val="003F1E9B"/>
    <w:rsid w:val="003F312D"/>
    <w:rsid w:val="00416BB3"/>
    <w:rsid w:val="00417F7A"/>
    <w:rsid w:val="00435654"/>
    <w:rsid w:val="004361F1"/>
    <w:rsid w:val="00443519"/>
    <w:rsid w:val="004460A6"/>
    <w:rsid w:val="00486CD6"/>
    <w:rsid w:val="004B2459"/>
    <w:rsid w:val="004C1795"/>
    <w:rsid w:val="004C519F"/>
    <w:rsid w:val="004E07C3"/>
    <w:rsid w:val="00505E7B"/>
    <w:rsid w:val="00527E6C"/>
    <w:rsid w:val="00543231"/>
    <w:rsid w:val="00545D46"/>
    <w:rsid w:val="0059317C"/>
    <w:rsid w:val="00596DFD"/>
    <w:rsid w:val="005D0E1F"/>
    <w:rsid w:val="005D1D8F"/>
    <w:rsid w:val="005D6BAF"/>
    <w:rsid w:val="005E7941"/>
    <w:rsid w:val="0061603C"/>
    <w:rsid w:val="00622648"/>
    <w:rsid w:val="006239BA"/>
    <w:rsid w:val="00635DF5"/>
    <w:rsid w:val="00637EBF"/>
    <w:rsid w:val="0066129B"/>
    <w:rsid w:val="006614C8"/>
    <w:rsid w:val="006935E9"/>
    <w:rsid w:val="007302F8"/>
    <w:rsid w:val="007510DA"/>
    <w:rsid w:val="00762662"/>
    <w:rsid w:val="00763890"/>
    <w:rsid w:val="00780100"/>
    <w:rsid w:val="0079703A"/>
    <w:rsid w:val="007A1546"/>
    <w:rsid w:val="007A41CF"/>
    <w:rsid w:val="007B31EA"/>
    <w:rsid w:val="007B5267"/>
    <w:rsid w:val="007F2BAB"/>
    <w:rsid w:val="00831758"/>
    <w:rsid w:val="0084795B"/>
    <w:rsid w:val="008544F2"/>
    <w:rsid w:val="008669E5"/>
    <w:rsid w:val="008676E5"/>
    <w:rsid w:val="00874181"/>
    <w:rsid w:val="00880DD8"/>
    <w:rsid w:val="00885D8E"/>
    <w:rsid w:val="00894E1F"/>
    <w:rsid w:val="008D282A"/>
    <w:rsid w:val="008D4653"/>
    <w:rsid w:val="008F04F6"/>
    <w:rsid w:val="008F53E5"/>
    <w:rsid w:val="008F6D98"/>
    <w:rsid w:val="008F74FC"/>
    <w:rsid w:val="009268A8"/>
    <w:rsid w:val="00954727"/>
    <w:rsid w:val="00972A0F"/>
    <w:rsid w:val="0098696E"/>
    <w:rsid w:val="0099741A"/>
    <w:rsid w:val="009A6FC4"/>
    <w:rsid w:val="009D6883"/>
    <w:rsid w:val="009F4CCA"/>
    <w:rsid w:val="009F6E2F"/>
    <w:rsid w:val="00A07124"/>
    <w:rsid w:val="00A10909"/>
    <w:rsid w:val="00A705D4"/>
    <w:rsid w:val="00A726EF"/>
    <w:rsid w:val="00A72CBD"/>
    <w:rsid w:val="00A8154E"/>
    <w:rsid w:val="00A831A7"/>
    <w:rsid w:val="00AA4EE5"/>
    <w:rsid w:val="00AB29B0"/>
    <w:rsid w:val="00AD6406"/>
    <w:rsid w:val="00B2291C"/>
    <w:rsid w:val="00B35C27"/>
    <w:rsid w:val="00B377C1"/>
    <w:rsid w:val="00B5234E"/>
    <w:rsid w:val="00B84FA0"/>
    <w:rsid w:val="00BA5C61"/>
    <w:rsid w:val="00BA7733"/>
    <w:rsid w:val="00BB4DE5"/>
    <w:rsid w:val="00BE179C"/>
    <w:rsid w:val="00C04AC6"/>
    <w:rsid w:val="00C0781C"/>
    <w:rsid w:val="00C27E16"/>
    <w:rsid w:val="00C33B4A"/>
    <w:rsid w:val="00C35521"/>
    <w:rsid w:val="00C4379C"/>
    <w:rsid w:val="00C533B8"/>
    <w:rsid w:val="00C56613"/>
    <w:rsid w:val="00C628AE"/>
    <w:rsid w:val="00C638F4"/>
    <w:rsid w:val="00C979A0"/>
    <w:rsid w:val="00CA4EAC"/>
    <w:rsid w:val="00CF34CF"/>
    <w:rsid w:val="00D02A64"/>
    <w:rsid w:val="00D26615"/>
    <w:rsid w:val="00D34EF1"/>
    <w:rsid w:val="00D47879"/>
    <w:rsid w:val="00D509C2"/>
    <w:rsid w:val="00D5218E"/>
    <w:rsid w:val="00D52CF1"/>
    <w:rsid w:val="00D61370"/>
    <w:rsid w:val="00D8349D"/>
    <w:rsid w:val="00DA6BF3"/>
    <w:rsid w:val="00DA7635"/>
    <w:rsid w:val="00DB4588"/>
    <w:rsid w:val="00DD1FC8"/>
    <w:rsid w:val="00DD4B95"/>
    <w:rsid w:val="00DE5084"/>
    <w:rsid w:val="00DF0AD2"/>
    <w:rsid w:val="00DF669D"/>
    <w:rsid w:val="00E30070"/>
    <w:rsid w:val="00E36C0E"/>
    <w:rsid w:val="00E73DF7"/>
    <w:rsid w:val="00EB72A6"/>
    <w:rsid w:val="00EC0CA6"/>
    <w:rsid w:val="00F664AB"/>
    <w:rsid w:val="00F675A6"/>
    <w:rsid w:val="00F72AA6"/>
    <w:rsid w:val="00F8055B"/>
    <w:rsid w:val="00F93615"/>
    <w:rsid w:val="00FA63DC"/>
    <w:rsid w:val="00FD7D2A"/>
    <w:rsid w:val="00FE440D"/>
    <w:rsid w:val="058A5EAF"/>
    <w:rsid w:val="0D24CF0E"/>
    <w:rsid w:val="0EE69A7A"/>
    <w:rsid w:val="108AB970"/>
    <w:rsid w:val="12B9F842"/>
    <w:rsid w:val="16333AB0"/>
    <w:rsid w:val="172F7169"/>
    <w:rsid w:val="26206892"/>
    <w:rsid w:val="323947F9"/>
    <w:rsid w:val="3AF97ED6"/>
    <w:rsid w:val="3B7A14F0"/>
    <w:rsid w:val="3C62BEE8"/>
    <w:rsid w:val="4445B8D1"/>
    <w:rsid w:val="5978BB32"/>
    <w:rsid w:val="5C56FBD3"/>
    <w:rsid w:val="5E8ACA50"/>
    <w:rsid w:val="6E1108C8"/>
    <w:rsid w:val="72DA0A04"/>
    <w:rsid w:val="7BAEAD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7563B"/>
  <w15:docId w15:val="{21008E09-638C-4EF3-A107-CEBE8308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5B313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B3137"/>
    <w:rPr>
      <w:rFonts w:eastAsiaTheme="minorEastAsia"/>
      <w:lang w:val="en-US"/>
    </w:rPr>
  </w:style>
  <w:style w:type="paragraph" w:styleId="Header">
    <w:name w:val="header"/>
    <w:basedOn w:val="Normal"/>
    <w:link w:val="HeaderChar"/>
    <w:uiPriority w:val="99"/>
    <w:unhideWhenUsed/>
    <w:rsid w:val="005B3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137"/>
  </w:style>
  <w:style w:type="paragraph" w:styleId="Footer">
    <w:name w:val="footer"/>
    <w:basedOn w:val="Normal"/>
    <w:link w:val="FooterChar"/>
    <w:uiPriority w:val="99"/>
    <w:unhideWhenUsed/>
    <w:rsid w:val="005B3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137"/>
  </w:style>
  <w:style w:type="table" w:styleId="TableGrid">
    <w:name w:val="Table Grid"/>
    <w:basedOn w:val="TableNormal"/>
    <w:uiPriority w:val="39"/>
    <w:rsid w:val="005B3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1D02"/>
    <w:rPr>
      <w:color w:val="808080"/>
    </w:rPr>
  </w:style>
  <w:style w:type="paragraph" w:styleId="ListParagraph">
    <w:name w:val="List Paragraph"/>
    <w:basedOn w:val="Normal"/>
    <w:uiPriority w:val="34"/>
    <w:qFormat/>
    <w:rsid w:val="00E367BB"/>
    <w:pPr>
      <w:ind w:left="720"/>
      <w:contextualSpacing/>
    </w:pPr>
  </w:style>
  <w:style w:type="paragraph" w:styleId="BalloonText">
    <w:name w:val="Balloon Text"/>
    <w:basedOn w:val="Normal"/>
    <w:link w:val="BalloonTextChar"/>
    <w:uiPriority w:val="99"/>
    <w:semiHidden/>
    <w:unhideWhenUsed/>
    <w:rsid w:val="008A2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74"/>
    <w:rPr>
      <w:rFonts w:ascii="Segoe UI" w:hAnsi="Segoe UI" w:cs="Segoe UI"/>
      <w:sz w:val="18"/>
      <w:szCs w:val="18"/>
    </w:rPr>
  </w:style>
  <w:style w:type="character" w:styleId="CommentReference">
    <w:name w:val="annotation reference"/>
    <w:basedOn w:val="DefaultParagraphFont"/>
    <w:uiPriority w:val="99"/>
    <w:semiHidden/>
    <w:unhideWhenUsed/>
    <w:rsid w:val="009E3CE8"/>
    <w:rPr>
      <w:sz w:val="16"/>
      <w:szCs w:val="16"/>
    </w:rPr>
  </w:style>
  <w:style w:type="paragraph" w:styleId="CommentText">
    <w:name w:val="annotation text"/>
    <w:basedOn w:val="Normal"/>
    <w:link w:val="CommentTextChar"/>
    <w:uiPriority w:val="99"/>
    <w:unhideWhenUsed/>
    <w:rsid w:val="009E3CE8"/>
    <w:pPr>
      <w:spacing w:line="240" w:lineRule="auto"/>
    </w:pPr>
    <w:rPr>
      <w:sz w:val="20"/>
      <w:szCs w:val="20"/>
    </w:rPr>
  </w:style>
  <w:style w:type="character" w:customStyle="1" w:styleId="CommentTextChar">
    <w:name w:val="Comment Text Char"/>
    <w:basedOn w:val="DefaultParagraphFont"/>
    <w:link w:val="CommentText"/>
    <w:uiPriority w:val="99"/>
    <w:rsid w:val="009E3CE8"/>
    <w:rPr>
      <w:sz w:val="20"/>
      <w:szCs w:val="20"/>
    </w:rPr>
  </w:style>
  <w:style w:type="paragraph" w:styleId="CommentSubject">
    <w:name w:val="annotation subject"/>
    <w:basedOn w:val="CommentText"/>
    <w:next w:val="CommentText"/>
    <w:link w:val="CommentSubjectChar"/>
    <w:uiPriority w:val="99"/>
    <w:semiHidden/>
    <w:unhideWhenUsed/>
    <w:rsid w:val="009E3CE8"/>
    <w:rPr>
      <w:b/>
      <w:bCs/>
    </w:rPr>
  </w:style>
  <w:style w:type="character" w:customStyle="1" w:styleId="CommentSubjectChar">
    <w:name w:val="Comment Subject Char"/>
    <w:basedOn w:val="CommentTextChar"/>
    <w:link w:val="CommentSubject"/>
    <w:uiPriority w:val="99"/>
    <w:semiHidden/>
    <w:rsid w:val="009E3CE8"/>
    <w:rPr>
      <w:b/>
      <w:bCs/>
      <w:sz w:val="20"/>
      <w:szCs w:val="20"/>
    </w:rPr>
  </w:style>
  <w:style w:type="paragraph" w:customStyle="1" w:styleId="paragraph">
    <w:name w:val="paragraph"/>
    <w:basedOn w:val="Normal"/>
    <w:rsid w:val="00BB14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B1459"/>
  </w:style>
  <w:style w:type="character" w:customStyle="1" w:styleId="normaltextrun">
    <w:name w:val="normaltextrun"/>
    <w:basedOn w:val="DefaultParagraphFont"/>
    <w:rsid w:val="00BB145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Revision">
    <w:name w:val="Revision"/>
    <w:hidden/>
    <w:uiPriority w:val="99"/>
    <w:semiHidden/>
    <w:rsid w:val="005D1D8F"/>
    <w:pPr>
      <w:spacing w:after="0" w:line="240" w:lineRule="auto"/>
    </w:pPr>
  </w:style>
  <w:style w:type="character" w:styleId="UnresolvedMention">
    <w:name w:val="Unresolved Mention"/>
    <w:basedOn w:val="DefaultParagraphFont"/>
    <w:uiPriority w:val="99"/>
    <w:unhideWhenUsed/>
    <w:rsid w:val="00F93615"/>
    <w:rPr>
      <w:color w:val="605E5C"/>
      <w:shd w:val="clear" w:color="auto" w:fill="E1DFDD"/>
    </w:rPr>
  </w:style>
  <w:style w:type="character" w:styleId="Mention">
    <w:name w:val="Mention"/>
    <w:basedOn w:val="DefaultParagraphFont"/>
    <w:uiPriority w:val="99"/>
    <w:unhideWhenUsed/>
    <w:rsid w:val="00F93615"/>
    <w:rPr>
      <w:color w:val="2B579A"/>
      <w:shd w:val="clear" w:color="auto" w:fill="E1DFDD"/>
    </w:rPr>
  </w:style>
  <w:style w:type="character" w:styleId="Hyperlink">
    <w:name w:val="Hyperlink"/>
    <w:basedOn w:val="DefaultParagraphFont"/>
    <w:uiPriority w:val="99"/>
    <w:unhideWhenUsed/>
    <w:rsid w:val="0098696E"/>
    <w:rPr>
      <w:color w:val="0563C1" w:themeColor="hyperlink"/>
      <w:u w:val="single"/>
    </w:rPr>
  </w:style>
  <w:style w:type="character" w:styleId="FollowedHyperlink">
    <w:name w:val="FollowedHyperlink"/>
    <w:basedOn w:val="DefaultParagraphFont"/>
    <w:uiPriority w:val="99"/>
    <w:semiHidden/>
    <w:unhideWhenUsed/>
    <w:rsid w:val="002127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officeforstudents.org.uk/publications/annual-fee-information-collection-guidance/" TargetMode="External"/><Relationship Id="rId2" Type="http://schemas.openxmlformats.org/officeDocument/2006/relationships/customXml" Target="../customXml/item2.xml"/><Relationship Id="rId16" Type="http://schemas.openxmlformats.org/officeDocument/2006/relationships/hyperlink" Target="https://www.officeforstudents.org.uk/for-providers/equality-of-opportunity/access-and-participation-pla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heffcol.ac.uk/uploads/documents/Public%20Documents/Governing%20Body/Instrument%20and%20Articles%20reapproved%20July%202022.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8095781F4346578235CE9F52C8DB78"/>
        <w:category>
          <w:name w:val="General"/>
          <w:gallery w:val="placeholder"/>
        </w:category>
        <w:types>
          <w:type w:val="bbPlcHdr"/>
        </w:types>
        <w:behaviors>
          <w:behavior w:val="content"/>
        </w:behaviors>
        <w:guid w:val="{5C4289A7-55E3-4591-B7C5-445C408AE24F}"/>
      </w:docPartPr>
      <w:docPartBody>
        <w:p w:rsidR="00272BC7" w:rsidRDefault="007B31EA" w:rsidP="007B31EA">
          <w:pPr>
            <w:pStyle w:val="E38095781F4346578235CE9F52C8DB78"/>
          </w:pPr>
          <w:r w:rsidRPr="00384D6B">
            <w:rPr>
              <w:rStyle w:val="PlaceholderText"/>
            </w:rPr>
            <w:t>Choose an item.</w:t>
          </w:r>
        </w:p>
      </w:docPartBody>
    </w:docPart>
    <w:docPart>
      <w:docPartPr>
        <w:name w:val="188B39E6BC2C4558837FD7D09EBFB9D2"/>
        <w:category>
          <w:name w:val="General"/>
          <w:gallery w:val="placeholder"/>
        </w:category>
        <w:types>
          <w:type w:val="bbPlcHdr"/>
        </w:types>
        <w:behaviors>
          <w:behavior w:val="content"/>
        </w:behaviors>
        <w:guid w:val="{306BAD65-AA80-413B-91F2-D0CB5932696F}"/>
      </w:docPartPr>
      <w:docPartBody>
        <w:p w:rsidR="00272BC7" w:rsidRDefault="007B31EA" w:rsidP="007B31EA">
          <w:pPr>
            <w:pStyle w:val="188B39E6BC2C4558837FD7D09EBFB9D2"/>
          </w:pPr>
          <w:r w:rsidRPr="00384D6B">
            <w:rPr>
              <w:rStyle w:val="PlaceholderText"/>
            </w:rPr>
            <w:t>Choose an item.</w:t>
          </w:r>
        </w:p>
      </w:docPartBody>
    </w:docPart>
    <w:docPart>
      <w:docPartPr>
        <w:name w:val="8D9CA0691E83404C88E91BFAD74D2119"/>
        <w:category>
          <w:name w:val="General"/>
          <w:gallery w:val="placeholder"/>
        </w:category>
        <w:types>
          <w:type w:val="bbPlcHdr"/>
        </w:types>
        <w:behaviors>
          <w:behavior w:val="content"/>
        </w:behaviors>
        <w:guid w:val="{6706731C-1178-4D8D-837B-857A44604F30}"/>
      </w:docPartPr>
      <w:docPartBody>
        <w:p w:rsidR="00272BC7" w:rsidRDefault="007B31EA" w:rsidP="007B31EA">
          <w:pPr>
            <w:pStyle w:val="8D9CA0691E83404C88E91BFAD74D2119"/>
          </w:pPr>
          <w:r w:rsidRPr="00746F93">
            <w:rPr>
              <w:rStyle w:val="PlaceholderText"/>
            </w:rPr>
            <w:t>Choose an item.</w:t>
          </w:r>
        </w:p>
      </w:docPartBody>
    </w:docPart>
    <w:docPart>
      <w:docPartPr>
        <w:name w:val="34B1BAFBDC5447AE9042BCB6B76FE1CB"/>
        <w:category>
          <w:name w:val="General"/>
          <w:gallery w:val="placeholder"/>
        </w:category>
        <w:types>
          <w:type w:val="bbPlcHdr"/>
        </w:types>
        <w:behaviors>
          <w:behavior w:val="content"/>
        </w:behaviors>
        <w:guid w:val="{B63CEB02-2B4F-4A38-A2BB-2E41D1CE7CCA}"/>
      </w:docPartPr>
      <w:docPartBody>
        <w:p w:rsidR="00272BC7" w:rsidRDefault="007B31EA" w:rsidP="007B31EA">
          <w:pPr>
            <w:pStyle w:val="34B1BAFBDC5447AE9042BCB6B76FE1CB"/>
          </w:pPr>
          <w:r w:rsidRPr="000A1187">
            <w:rPr>
              <w:rStyle w:val="PlaceholderText"/>
            </w:rPr>
            <w:t>Click or tap to enter a date.</w:t>
          </w:r>
        </w:p>
      </w:docPartBody>
    </w:docPart>
    <w:docPart>
      <w:docPartPr>
        <w:name w:val="C93AD8E28E144C3FB8D3D5ED53F9ED43"/>
        <w:category>
          <w:name w:val="General"/>
          <w:gallery w:val="placeholder"/>
        </w:category>
        <w:types>
          <w:type w:val="bbPlcHdr"/>
        </w:types>
        <w:behaviors>
          <w:behavior w:val="content"/>
        </w:behaviors>
        <w:guid w:val="{0C4CED9E-D1C7-43BB-AEB8-D9B6A0DD8B70}"/>
      </w:docPartPr>
      <w:docPartBody>
        <w:p w:rsidR="00272BC7" w:rsidRDefault="007B31EA" w:rsidP="007B31EA">
          <w:pPr>
            <w:pStyle w:val="C93AD8E28E144C3FB8D3D5ED53F9ED43"/>
          </w:pPr>
          <w:r w:rsidRPr="009734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EA"/>
    <w:rsid w:val="00032D8E"/>
    <w:rsid w:val="001118AA"/>
    <w:rsid w:val="001266DC"/>
    <w:rsid w:val="001F1851"/>
    <w:rsid w:val="00272BC7"/>
    <w:rsid w:val="002F308E"/>
    <w:rsid w:val="00317529"/>
    <w:rsid w:val="00381563"/>
    <w:rsid w:val="003D76C6"/>
    <w:rsid w:val="00527E6C"/>
    <w:rsid w:val="0061603C"/>
    <w:rsid w:val="00762662"/>
    <w:rsid w:val="007B31EA"/>
    <w:rsid w:val="0084795B"/>
    <w:rsid w:val="00A75CF1"/>
    <w:rsid w:val="00CC364E"/>
    <w:rsid w:val="00D61370"/>
    <w:rsid w:val="00DD3A54"/>
    <w:rsid w:val="00F13A44"/>
    <w:rsid w:val="00FD54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1EA"/>
    <w:rPr>
      <w:color w:val="808080"/>
    </w:rPr>
  </w:style>
  <w:style w:type="paragraph" w:customStyle="1" w:styleId="E38095781F4346578235CE9F52C8DB78">
    <w:name w:val="E38095781F4346578235CE9F52C8DB78"/>
    <w:rsid w:val="007B31EA"/>
  </w:style>
  <w:style w:type="paragraph" w:customStyle="1" w:styleId="188B39E6BC2C4558837FD7D09EBFB9D2">
    <w:name w:val="188B39E6BC2C4558837FD7D09EBFB9D2"/>
    <w:rsid w:val="007B31EA"/>
  </w:style>
  <w:style w:type="paragraph" w:customStyle="1" w:styleId="8D9CA0691E83404C88E91BFAD74D2119">
    <w:name w:val="8D9CA0691E83404C88E91BFAD74D2119"/>
    <w:rsid w:val="007B31EA"/>
  </w:style>
  <w:style w:type="paragraph" w:customStyle="1" w:styleId="34B1BAFBDC5447AE9042BCB6B76FE1CB">
    <w:name w:val="34B1BAFBDC5447AE9042BCB6B76FE1CB"/>
    <w:rsid w:val="007B31EA"/>
  </w:style>
  <w:style w:type="paragraph" w:customStyle="1" w:styleId="C93AD8E28E144C3FB8D3D5ED53F9ED43">
    <w:name w:val="C93AD8E28E144C3FB8D3D5ED53F9ED43"/>
    <w:rsid w:val="007B3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E4CE573134564DB7A85AD6587063D9" ma:contentTypeVersion="15" ma:contentTypeDescription="Create a new document." ma:contentTypeScope="" ma:versionID="92fc3a8b59c047d5bea6058e860e17ef">
  <xsd:schema xmlns:xsd="http://www.w3.org/2001/XMLSchema" xmlns:xs="http://www.w3.org/2001/XMLSchema" xmlns:p="http://schemas.microsoft.com/office/2006/metadata/properties" xmlns:ns2="00e07318-fda5-4684-8078-241c80aee368" xmlns:ns3="19912715-ac63-4663-bdcf-71ac93ffaf55" targetNamespace="http://schemas.microsoft.com/office/2006/metadata/properties" ma:root="true" ma:fieldsID="a0be4d182f111a7159e8871700bb4574" ns2:_="" ns3:_="">
    <xsd:import namespace="00e07318-fda5-4684-8078-241c80aee368"/>
    <xsd:import namespace="19912715-ac63-4663-bdcf-71ac93ffaf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07318-fda5-4684-8078-241c80aee3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f1d816e-217f-4426-9435-9b865c782b4a}" ma:internalName="TaxCatchAll" ma:showField="CatchAllData" ma:web="00e07318-fda5-4684-8078-241c80aee3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912715-ac63-4663-bdcf-71ac93ffaf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3b98c5e-5959-4326-8677-d804b4f5633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Status" ma:index="21" nillable="true" ma:displayName="Status " ma:default="Draft" ma:format="Dropdown" ma:internalName="Status">
      <xsd:simpleType>
        <xsd:union memberTypes="dms:Text">
          <xsd:simpleType>
            <xsd:restriction base="dms:Choice">
              <xsd:enumeration value="Draft"/>
              <xsd:enumeration value="Reviewed"/>
              <xsd:enumeration value="Circulated"/>
              <xsd:enumeration value="Final"/>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NbQ8CwpJusqI+z4h07w+O/ZTTA==">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</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912715-ac63-4663-bdcf-71ac93ffaf55">
      <Terms xmlns="http://schemas.microsoft.com/office/infopath/2007/PartnerControls"/>
    </lcf76f155ced4ddcb4097134ff3c332f>
    <TaxCatchAll xmlns="00e07318-fda5-4684-8078-241c80aee368" xsi:nil="true"/>
    <Status xmlns="19912715-ac63-4663-bdcf-71ac93ffaf55">Draft</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276B5-A5DD-4118-8C40-320DA362F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07318-fda5-4684-8078-241c80aee368"/>
    <ds:schemaRef ds:uri="19912715-ac63-4663-bdcf-71ac93ffa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DE60634-0F38-4566-8CEE-7CF8FD35A89C}">
  <ds:schemaRefs>
    <ds:schemaRef ds:uri="http://schemas.microsoft.com/office/2006/metadata/properties"/>
    <ds:schemaRef ds:uri="http://schemas.microsoft.com/office/infopath/2007/PartnerControls"/>
    <ds:schemaRef ds:uri="19912715-ac63-4663-bdcf-71ac93ffaf55"/>
    <ds:schemaRef ds:uri="00e07318-fda5-4684-8078-241c80aee368"/>
  </ds:schemaRefs>
</ds:datastoreItem>
</file>

<file path=customXml/itemProps4.xml><?xml version="1.0" encoding="utf-8"?>
<ds:datastoreItem xmlns:ds="http://schemas.openxmlformats.org/officeDocument/2006/customXml" ds:itemID="{1FFFED58-4AD6-458F-A055-3B9C98CFED1F}">
  <ds:schemaRefs>
    <ds:schemaRef ds:uri="http://schemas.openxmlformats.org/officeDocument/2006/bibliography"/>
  </ds:schemaRefs>
</ds:datastoreItem>
</file>

<file path=customXml/itemProps5.xml><?xml version="1.0" encoding="utf-8"?>
<ds:datastoreItem xmlns:ds="http://schemas.openxmlformats.org/officeDocument/2006/customXml" ds:itemID="{ED9173E6-D3BD-4AE9-A389-A9690B9668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2614</Words>
  <Characters>14901</Characters>
  <Application>Microsoft Office Word</Application>
  <DocSecurity>0</DocSecurity>
  <Lines>124</Lines>
  <Paragraphs>34</Paragraphs>
  <ScaleCrop>false</ScaleCrop>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Godber</dc:creator>
  <cp:keywords/>
  <dc:description/>
  <cp:lastModifiedBy>Angela Foulkes</cp:lastModifiedBy>
  <cp:revision>3</cp:revision>
  <cp:lastPrinted>2024-09-05T16:53:00Z</cp:lastPrinted>
  <dcterms:created xsi:type="dcterms:W3CDTF">2024-09-06T12:27:00Z</dcterms:created>
  <dcterms:modified xsi:type="dcterms:W3CDTF">2024-09-06T13:29:00Z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0x01010059E4CE573134564DB7A85AD6587063D9</vt:lpwstr>
  </property>
  <property fmtid="{D5CDD505-2E9C-101B-9397-08002B2CF9AE}" pid="3" name="MediaServiceImageTags">
    <vt:lpwstr/>
  </property>
  <property fmtid="{D5CDD505-2E9C-101B-9397-08002B2CF9AE}" pid="4" name="GrammarlyDocumentId">
    <vt:lpwstr>426fb7f690ed30df8519db598403013e488dc92f426197cf49a6b7595ad4e18e</vt:lpwstr>
  </property>
</Properties>
</file>