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EB47" w14:textId="27CB2118" w:rsidR="00520B21" w:rsidRDefault="00D66D43" w:rsidP="008F4785">
      <w:pPr>
        <w:pStyle w:val="NoSpacing"/>
      </w:pPr>
      <w:r w:rsidRPr="00481E66">
        <w:rPr>
          <w:noProof/>
          <w:lang w:eastAsia="en-GB"/>
        </w:rPr>
        <w:drawing>
          <wp:anchor distT="0" distB="0" distL="114300" distR="114300" simplePos="0" relativeHeight="251659264" behindDoc="0" locked="0" layoutInCell="1" allowOverlap="1" wp14:anchorId="75D412F7" wp14:editId="46CAA47E">
            <wp:simplePos x="0" y="0"/>
            <wp:positionH relativeFrom="margin">
              <wp:posOffset>-553085</wp:posOffset>
            </wp:positionH>
            <wp:positionV relativeFrom="page">
              <wp:posOffset>462593</wp:posOffset>
            </wp:positionV>
            <wp:extent cx="1118870" cy="1118870"/>
            <wp:effectExtent l="0" t="0" r="5080" b="5080"/>
            <wp:wrapSquare wrapText="bothSides"/>
            <wp:docPr id="1" name="Picture 1" descr="C:\Users\MG7273473\Desktop\Documents\SCR Brochure\TSC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7273473\Desktop\Documents\SCR Brochure\TSC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870"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91440" distB="457200" distL="114300" distR="114300" simplePos="0" relativeHeight="251658240" behindDoc="0" locked="0" layoutInCell="0" allowOverlap="1" wp14:anchorId="382E357B" wp14:editId="53C93FB8">
                <wp:simplePos x="0" y="0"/>
                <wp:positionH relativeFrom="margin">
                  <wp:align>right</wp:align>
                </wp:positionH>
                <wp:positionV relativeFrom="page">
                  <wp:posOffset>450215</wp:posOffset>
                </wp:positionV>
                <wp:extent cx="4587875" cy="887095"/>
                <wp:effectExtent l="0" t="0" r="3175" b="8255"/>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587875" cy="887095"/>
                        </a:xfrm>
                        <a:prstGeom prst="rect">
                          <a:avLst/>
                        </a:prstGeom>
                        <a:solidFill>
                          <a:schemeClr val="tx2">
                            <a:lumMod val="75000"/>
                          </a:schemeClr>
                        </a:solidFill>
                        <a:effectLst>
                          <a:outerShdw dir="21540000" algn="ctr" rotWithShape="0">
                            <a:schemeClr val="bg1">
                              <a:lumMod val="50000"/>
                              <a:alpha val="50000"/>
                            </a:schemeClr>
                          </a:outerShdw>
                        </a:effectLst>
                      </wps:spPr>
                      <wps:txbx>
                        <w:txbxContent>
                          <w:p w14:paraId="3DDFBA0E" w14:textId="4254278C" w:rsidR="00500A8C" w:rsidRPr="00812026" w:rsidRDefault="00D66D43" w:rsidP="00481E66">
                            <w:pPr>
                              <w:shd w:val="clear" w:color="auto" w:fill="323E4F" w:themeFill="text2" w:themeFillShade="BF"/>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Pr>
                                <w:rFonts w:ascii="Verdana" w:hAnsi="Verdana"/>
                                <w:b/>
                                <w:i/>
                                <w:iCs/>
                                <w:color w:val="FFFFFF" w:themeColor="background1"/>
                                <w:sz w:val="56"/>
                                <w:szCs w:val="56"/>
                              </w:rPr>
                              <w:t>Terms of Reference Reference</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357B" id="Rectangle 405" o:spid="_x0000_s1026" style="position:absolute;margin-left:310.05pt;margin-top:35.45pt;width:361.25pt;height:69.85pt;rotation:180;flip:x;z-index:251658240;visibility:visible;mso-wrap-style:square;mso-width-percent:0;mso-height-percent:0;mso-wrap-distance-left:9pt;mso-wrap-distance-top:7.2pt;mso-wrap-distance-right:9pt;mso-wrap-distance-bottom:36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" o:allowincell="f" fillcolor="#323e4f [2415]" stroked="f">
                <v:shadow on="t" color="#7f7f7f [1612]" opacity=".5" offset="0,0"/>
                <v:textbox inset="36pt,18pt,18pt,7.2pt">
                  <w:txbxContent>
                    <w:p w14:paraId="3DDFBA0E" w14:textId="4254278C" w:rsidR="00500A8C" w:rsidRPr="00812026" w:rsidRDefault="00D66D43" w:rsidP="00481E66">
                      <w:pPr>
                        <w:shd w:val="clear" w:color="auto" w:fill="323E4F" w:themeFill="text2" w:themeFillShade="BF"/>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Pr>
                          <w:rFonts w:ascii="Verdana" w:hAnsi="Verdana"/>
                          <w:b/>
                          <w:i/>
                          <w:iCs/>
                          <w:color w:val="FFFFFF" w:themeColor="background1"/>
                          <w:sz w:val="56"/>
                          <w:szCs w:val="56"/>
                        </w:rPr>
                        <w:t xml:space="preserve">Terms of Reference </w:t>
                      </w:r>
                      <w:proofErr w:type="spellStart"/>
                      <w:r>
                        <w:rPr>
                          <w:rFonts w:ascii="Verdana" w:hAnsi="Verdana"/>
                          <w:b/>
                          <w:i/>
                          <w:iCs/>
                          <w:color w:val="FFFFFF" w:themeColor="background1"/>
                          <w:sz w:val="56"/>
                          <w:szCs w:val="56"/>
                        </w:rPr>
                        <w:t>Reference</w:t>
                      </w:r>
                      <w:proofErr w:type="spellEnd"/>
                    </w:p>
                  </w:txbxContent>
                </v:textbox>
                <w10:wrap type="square" anchorx="margin" anchory="page"/>
              </v:rect>
            </w:pict>
          </mc:Fallback>
        </mc:AlternateContent>
      </w:r>
    </w:p>
    <w:p w14:paraId="3AC1C9BC" w14:textId="77777777" w:rsidR="00520B21" w:rsidRDefault="00520B21" w:rsidP="008F4785">
      <w:pPr>
        <w:pStyle w:val="NoSpacing"/>
      </w:pPr>
    </w:p>
    <w:tbl>
      <w:tblPr>
        <w:tblStyle w:val="TableGrid"/>
        <w:tblpPr w:leftFromText="180" w:rightFromText="180" w:horzAnchor="page" w:tblpX="601" w:tblpY="1080"/>
        <w:tblW w:w="10768" w:type="dxa"/>
        <w:tblLook w:val="01E0" w:firstRow="1" w:lastRow="1" w:firstColumn="1" w:lastColumn="1" w:noHBand="0" w:noVBand="0"/>
      </w:tblPr>
      <w:tblGrid>
        <w:gridCol w:w="3119"/>
        <w:gridCol w:w="7649"/>
      </w:tblGrid>
      <w:tr w:rsidR="00520B21" w:rsidRPr="00DD5559" w14:paraId="4FB05AC4" w14:textId="77777777" w:rsidTr="00CE6CD2">
        <w:trPr>
          <w:trHeight w:val="695"/>
        </w:trPr>
        <w:tc>
          <w:tcPr>
            <w:tcW w:w="3119" w:type="dxa"/>
            <w:tcBorders>
              <w:bottom w:val="single" w:sz="4" w:space="0" w:color="auto"/>
            </w:tcBorders>
            <w:shd w:val="clear" w:color="auto" w:fill="D9D9D9"/>
            <w:vAlign w:val="center"/>
          </w:tcPr>
          <w:p w14:paraId="0C12CF4B" w14:textId="04D72E94" w:rsidR="00520B21" w:rsidRPr="00D66D43" w:rsidRDefault="00D66D43" w:rsidP="00CE6CD2">
            <w:pPr>
              <w:pStyle w:val="Header"/>
              <w:jc w:val="both"/>
              <w:rPr>
                <w:rFonts w:cstheme="minorHAnsi"/>
                <w:b/>
                <w:sz w:val="28"/>
                <w:szCs w:val="28"/>
              </w:rPr>
            </w:pPr>
            <w:r w:rsidRPr="00D66D43">
              <w:rPr>
                <w:rFonts w:cstheme="minorHAnsi"/>
                <w:b/>
                <w:sz w:val="28"/>
                <w:szCs w:val="28"/>
              </w:rPr>
              <w:t>Meeting / Committee</w:t>
            </w:r>
          </w:p>
        </w:tc>
        <w:tc>
          <w:tcPr>
            <w:tcW w:w="7649" w:type="dxa"/>
            <w:tcBorders>
              <w:bottom w:val="single" w:sz="4" w:space="0" w:color="auto"/>
            </w:tcBorders>
            <w:shd w:val="clear" w:color="auto" w:fill="auto"/>
            <w:vAlign w:val="center"/>
          </w:tcPr>
          <w:p w14:paraId="48A727D8" w14:textId="4BA80623" w:rsidR="00520B21" w:rsidRPr="00691C28" w:rsidRDefault="007B5CC5" w:rsidP="00D66D43">
            <w:pPr>
              <w:pStyle w:val="Header"/>
              <w:spacing w:before="120" w:after="120"/>
              <w:jc w:val="both"/>
              <w:rPr>
                <w:rFonts w:cstheme="minorHAnsi"/>
                <w:b/>
                <w:bCs/>
                <w:sz w:val="28"/>
                <w:szCs w:val="32"/>
              </w:rPr>
            </w:pPr>
            <w:r>
              <w:rPr>
                <w:rFonts w:cstheme="minorHAnsi"/>
                <w:b/>
                <w:bCs/>
                <w:sz w:val="28"/>
                <w:szCs w:val="32"/>
              </w:rPr>
              <w:t>Health &amp; Safety Committee</w:t>
            </w:r>
          </w:p>
        </w:tc>
      </w:tr>
      <w:tr w:rsidR="00520B21" w:rsidRPr="00DD5559" w14:paraId="48562D07" w14:textId="77777777" w:rsidTr="00D66D43">
        <w:trPr>
          <w:trHeight w:val="138"/>
        </w:trPr>
        <w:tc>
          <w:tcPr>
            <w:tcW w:w="3119" w:type="dxa"/>
            <w:tcBorders>
              <w:left w:val="nil"/>
              <w:right w:val="nil"/>
            </w:tcBorders>
            <w:shd w:val="clear" w:color="auto" w:fill="auto"/>
          </w:tcPr>
          <w:p w14:paraId="3B96EE1D" w14:textId="77777777" w:rsidR="00520B21" w:rsidRPr="00D66D43" w:rsidRDefault="00520B21" w:rsidP="00D66D43">
            <w:pPr>
              <w:pStyle w:val="Header"/>
              <w:rPr>
                <w:rFonts w:cstheme="minorHAnsi"/>
                <w:b/>
                <w:sz w:val="28"/>
                <w:szCs w:val="28"/>
              </w:rPr>
            </w:pPr>
          </w:p>
        </w:tc>
        <w:tc>
          <w:tcPr>
            <w:tcW w:w="7649" w:type="dxa"/>
            <w:tcBorders>
              <w:left w:val="nil"/>
              <w:right w:val="nil"/>
            </w:tcBorders>
            <w:shd w:val="clear" w:color="auto" w:fill="auto"/>
            <w:vAlign w:val="center"/>
          </w:tcPr>
          <w:p w14:paraId="2839B15E" w14:textId="77777777" w:rsidR="00520B21" w:rsidRPr="00D66D43" w:rsidRDefault="00520B21" w:rsidP="00CE6CD2">
            <w:pPr>
              <w:pStyle w:val="Header"/>
              <w:rPr>
                <w:rFonts w:cstheme="minorHAnsi"/>
                <w:sz w:val="32"/>
                <w:szCs w:val="32"/>
              </w:rPr>
            </w:pPr>
          </w:p>
        </w:tc>
      </w:tr>
      <w:tr w:rsidR="00520B21" w:rsidRPr="00DD5559" w14:paraId="12D68D18" w14:textId="77777777" w:rsidTr="00D66D43">
        <w:trPr>
          <w:trHeight w:val="1134"/>
        </w:trPr>
        <w:tc>
          <w:tcPr>
            <w:tcW w:w="3119" w:type="dxa"/>
            <w:shd w:val="clear" w:color="auto" w:fill="D9D9D9"/>
          </w:tcPr>
          <w:p w14:paraId="1DDF6C08" w14:textId="77777777" w:rsidR="00520B21" w:rsidRPr="00D66D43" w:rsidRDefault="00520B21" w:rsidP="00D66D43">
            <w:pPr>
              <w:pStyle w:val="Header"/>
              <w:jc w:val="both"/>
              <w:rPr>
                <w:rFonts w:cstheme="minorHAnsi"/>
                <w:b/>
                <w:sz w:val="28"/>
                <w:szCs w:val="28"/>
              </w:rPr>
            </w:pPr>
            <w:r w:rsidRPr="00D66D43">
              <w:rPr>
                <w:rFonts w:cstheme="minorHAnsi"/>
                <w:b/>
                <w:sz w:val="28"/>
                <w:szCs w:val="28"/>
              </w:rPr>
              <w:t>Purpose</w:t>
            </w:r>
          </w:p>
        </w:tc>
        <w:tc>
          <w:tcPr>
            <w:tcW w:w="7649" w:type="dxa"/>
            <w:shd w:val="clear" w:color="auto" w:fill="auto"/>
          </w:tcPr>
          <w:p w14:paraId="673FBA2F" w14:textId="0D74D313" w:rsidR="00520B21" w:rsidRPr="00D66D43" w:rsidRDefault="007B5CC5" w:rsidP="00D66D43">
            <w:pPr>
              <w:widowControl w:val="0"/>
              <w:autoSpaceDE w:val="0"/>
              <w:autoSpaceDN w:val="0"/>
              <w:adjustRightInd w:val="0"/>
              <w:spacing w:after="0" w:line="240" w:lineRule="auto"/>
              <w:jc w:val="both"/>
              <w:outlineLvl w:val="0"/>
              <w:rPr>
                <w:rFonts w:cstheme="minorHAnsi"/>
                <w:color w:val="000000" w:themeColor="text1"/>
                <w:sz w:val="24"/>
                <w:szCs w:val="32"/>
              </w:rPr>
            </w:pPr>
            <w:r>
              <w:rPr>
                <w:rFonts w:cstheme="minorHAnsi"/>
              </w:rPr>
              <w:t xml:space="preserve">The College Health and </w:t>
            </w:r>
            <w:r w:rsidRPr="006D7F6D">
              <w:rPr>
                <w:rFonts w:cstheme="minorHAnsi"/>
              </w:rPr>
              <w:t xml:space="preserve">Safety Committee is an Executive Committee; it is responsible for advising and reporting to the Board of Governors and Executive Leadership Team on all matters relating to the health, safety and welfare of all persons when on college premises and of staff and students when engaged in </w:t>
            </w:r>
            <w:proofErr w:type="gramStart"/>
            <w:r w:rsidRPr="006D7F6D">
              <w:rPr>
                <w:rFonts w:cstheme="minorHAnsi"/>
              </w:rPr>
              <w:t>College</w:t>
            </w:r>
            <w:proofErr w:type="gramEnd"/>
            <w:r w:rsidRPr="006D7F6D">
              <w:rPr>
                <w:rFonts w:cstheme="minorHAnsi"/>
              </w:rPr>
              <w:t xml:space="preserve"> activities.</w:t>
            </w:r>
          </w:p>
        </w:tc>
      </w:tr>
      <w:tr w:rsidR="00520B21" w:rsidRPr="00DD5559" w14:paraId="377C8EF6" w14:textId="77777777" w:rsidTr="00D66D43">
        <w:trPr>
          <w:trHeight w:val="1134"/>
        </w:trPr>
        <w:tc>
          <w:tcPr>
            <w:tcW w:w="3119" w:type="dxa"/>
            <w:shd w:val="clear" w:color="auto" w:fill="D9D9D9"/>
          </w:tcPr>
          <w:p w14:paraId="4BEF9A66" w14:textId="77777777" w:rsidR="00520B21" w:rsidRPr="00D66D43" w:rsidRDefault="00520B21" w:rsidP="00D66D43">
            <w:pPr>
              <w:pStyle w:val="Header"/>
              <w:jc w:val="both"/>
              <w:rPr>
                <w:rFonts w:cstheme="minorHAnsi"/>
                <w:b/>
                <w:sz w:val="28"/>
                <w:szCs w:val="28"/>
              </w:rPr>
            </w:pPr>
            <w:r w:rsidRPr="00D66D43">
              <w:rPr>
                <w:rFonts w:cstheme="minorHAnsi"/>
                <w:b/>
                <w:sz w:val="28"/>
                <w:szCs w:val="28"/>
              </w:rPr>
              <w:t>Scope</w:t>
            </w:r>
          </w:p>
        </w:tc>
        <w:tc>
          <w:tcPr>
            <w:tcW w:w="7649" w:type="dxa"/>
            <w:shd w:val="clear" w:color="auto" w:fill="auto"/>
          </w:tcPr>
          <w:p w14:paraId="5B6C4BC5" w14:textId="77777777" w:rsidR="007B5CC5" w:rsidRPr="006D7F6D" w:rsidRDefault="007B5CC5" w:rsidP="007B5CC5">
            <w:pPr>
              <w:pStyle w:val="BodyText"/>
              <w:rPr>
                <w:rFonts w:asciiTheme="minorHAnsi" w:hAnsiTheme="minorHAnsi" w:cstheme="minorHAnsi"/>
                <w:sz w:val="22"/>
                <w:szCs w:val="22"/>
              </w:rPr>
            </w:pPr>
            <w:r w:rsidRPr="006D7F6D">
              <w:rPr>
                <w:rFonts w:asciiTheme="minorHAnsi" w:hAnsiTheme="minorHAnsi" w:cstheme="minorHAnsi"/>
                <w:sz w:val="22"/>
                <w:szCs w:val="22"/>
              </w:rPr>
              <w:t xml:space="preserve">1. To consider and advise on </w:t>
            </w:r>
            <w:proofErr w:type="gramStart"/>
            <w:r w:rsidRPr="006D7F6D">
              <w:rPr>
                <w:rFonts w:asciiTheme="minorHAnsi" w:hAnsiTheme="minorHAnsi" w:cstheme="minorHAnsi"/>
                <w:sz w:val="22"/>
                <w:szCs w:val="22"/>
              </w:rPr>
              <w:t>College</w:t>
            </w:r>
            <w:proofErr w:type="gramEnd"/>
            <w:r w:rsidRPr="006D7F6D">
              <w:rPr>
                <w:rFonts w:asciiTheme="minorHAnsi" w:hAnsiTheme="minorHAnsi" w:cstheme="minorHAnsi"/>
                <w:sz w:val="22"/>
                <w:szCs w:val="22"/>
              </w:rPr>
              <w:t xml:space="preserve"> policies for health, safety and wellbeing, either statutory or otherwise, and monitor and review their effectiveness.</w:t>
            </w:r>
          </w:p>
          <w:p w14:paraId="64A3AE4A" w14:textId="77777777" w:rsidR="007B5CC5" w:rsidRPr="006D7F6D" w:rsidRDefault="007B5CC5" w:rsidP="007B5CC5">
            <w:pPr>
              <w:spacing w:after="0"/>
              <w:jc w:val="both"/>
              <w:rPr>
                <w:rFonts w:cstheme="minorHAnsi"/>
              </w:rPr>
            </w:pPr>
          </w:p>
          <w:p w14:paraId="76623208" w14:textId="77777777" w:rsidR="007B5CC5" w:rsidRPr="006D7F6D" w:rsidRDefault="007B5CC5" w:rsidP="007B5CC5">
            <w:pPr>
              <w:spacing w:after="0" w:line="240" w:lineRule="auto"/>
              <w:jc w:val="both"/>
              <w:rPr>
                <w:rFonts w:cstheme="minorHAnsi"/>
              </w:rPr>
            </w:pPr>
            <w:r w:rsidRPr="006D7F6D">
              <w:rPr>
                <w:rFonts w:cstheme="minorHAnsi"/>
              </w:rPr>
              <w:t>2. To review forthcoming legislation and assess its implications and, where necessary, to recommend the establishment of rules governing any hazardous work activity or operations.</w:t>
            </w:r>
          </w:p>
          <w:p w14:paraId="3026655A" w14:textId="77777777" w:rsidR="007B5CC5" w:rsidRPr="006D7F6D" w:rsidRDefault="007B5CC5" w:rsidP="007B5CC5">
            <w:pPr>
              <w:spacing w:after="0"/>
              <w:jc w:val="both"/>
              <w:rPr>
                <w:rFonts w:cstheme="minorHAnsi"/>
              </w:rPr>
            </w:pPr>
          </w:p>
          <w:p w14:paraId="4C0AFEB1" w14:textId="77777777" w:rsidR="007B5CC5" w:rsidRDefault="007B5CC5" w:rsidP="007B5CC5">
            <w:pPr>
              <w:spacing w:after="0" w:line="240" w:lineRule="auto"/>
              <w:jc w:val="both"/>
              <w:rPr>
                <w:rFonts w:cstheme="minorHAnsi"/>
              </w:rPr>
            </w:pPr>
            <w:r w:rsidRPr="006D7F6D">
              <w:rPr>
                <w:rFonts w:cstheme="minorHAnsi"/>
              </w:rPr>
              <w:t>3. To promote health and safety training in the College at all levels</w:t>
            </w:r>
            <w:r>
              <w:rPr>
                <w:rFonts w:cstheme="minorHAnsi"/>
              </w:rPr>
              <w:t>.</w:t>
            </w:r>
          </w:p>
          <w:p w14:paraId="5CD9B3B3" w14:textId="77777777" w:rsidR="007B5CC5" w:rsidRDefault="007B5CC5" w:rsidP="007B5CC5">
            <w:pPr>
              <w:spacing w:after="0" w:line="240" w:lineRule="auto"/>
              <w:jc w:val="both"/>
              <w:rPr>
                <w:rFonts w:cstheme="minorHAnsi"/>
              </w:rPr>
            </w:pPr>
          </w:p>
          <w:p w14:paraId="26CFCD58" w14:textId="77777777" w:rsidR="007B5CC5" w:rsidRDefault="007B5CC5" w:rsidP="007B5CC5">
            <w:pPr>
              <w:spacing w:after="0" w:line="240" w:lineRule="auto"/>
              <w:jc w:val="both"/>
              <w:rPr>
                <w:rFonts w:cstheme="minorHAnsi"/>
              </w:rPr>
            </w:pPr>
            <w:r>
              <w:rPr>
                <w:rFonts w:cstheme="minorHAnsi"/>
              </w:rPr>
              <w:t>4. T</w:t>
            </w:r>
            <w:r w:rsidRPr="006D7F6D">
              <w:rPr>
                <w:rFonts w:cstheme="minorHAnsi"/>
              </w:rPr>
              <w:t>o ensure that appropriate emergency procedures are in place.</w:t>
            </w:r>
          </w:p>
          <w:p w14:paraId="0D05715A" w14:textId="77777777" w:rsidR="007B5CC5" w:rsidRDefault="007B5CC5" w:rsidP="007B5CC5">
            <w:pPr>
              <w:spacing w:after="0" w:line="240" w:lineRule="auto"/>
              <w:jc w:val="both"/>
              <w:rPr>
                <w:rFonts w:cstheme="minorHAnsi"/>
              </w:rPr>
            </w:pPr>
          </w:p>
          <w:p w14:paraId="24DA4F02" w14:textId="77777777" w:rsidR="007B5CC5" w:rsidRPr="006D7F6D" w:rsidRDefault="007B5CC5" w:rsidP="007B5CC5">
            <w:pPr>
              <w:spacing w:after="0" w:line="240" w:lineRule="auto"/>
              <w:jc w:val="both"/>
              <w:rPr>
                <w:rFonts w:cstheme="minorHAnsi"/>
              </w:rPr>
            </w:pPr>
            <w:r>
              <w:rPr>
                <w:rFonts w:cstheme="minorHAnsi"/>
              </w:rPr>
              <w:t>5. To oversee the College’s response to any Public Health issues that arise.</w:t>
            </w:r>
          </w:p>
          <w:p w14:paraId="6615B3E0" w14:textId="77777777" w:rsidR="007B5CC5" w:rsidRPr="006D7F6D" w:rsidRDefault="007B5CC5" w:rsidP="007B5CC5">
            <w:pPr>
              <w:spacing w:after="0"/>
              <w:jc w:val="both"/>
              <w:rPr>
                <w:rFonts w:cstheme="minorHAnsi"/>
              </w:rPr>
            </w:pPr>
          </w:p>
          <w:p w14:paraId="69A28265" w14:textId="52E793AF" w:rsidR="007B5CC5" w:rsidRPr="006D7F6D" w:rsidRDefault="007B5CC5" w:rsidP="007B5CC5">
            <w:pPr>
              <w:spacing w:after="0" w:line="240" w:lineRule="auto"/>
              <w:jc w:val="both"/>
              <w:rPr>
                <w:rFonts w:cstheme="minorHAnsi"/>
              </w:rPr>
            </w:pPr>
            <w:r>
              <w:rPr>
                <w:rFonts w:cstheme="minorHAnsi"/>
              </w:rPr>
              <w:t>6</w:t>
            </w:r>
            <w:r w:rsidRPr="006D7F6D">
              <w:rPr>
                <w:rFonts w:cstheme="minorHAnsi"/>
              </w:rPr>
              <w:t>.</w:t>
            </w:r>
            <w:r>
              <w:rPr>
                <w:rFonts w:cstheme="minorHAnsi"/>
              </w:rPr>
              <w:t xml:space="preserve"> </w:t>
            </w:r>
            <w:r w:rsidRPr="006D7F6D">
              <w:rPr>
                <w:rFonts w:cstheme="minorHAnsi"/>
              </w:rPr>
              <w:t xml:space="preserve">To receive detailed reports of investigations into all reportable accidents, dangerous </w:t>
            </w:r>
            <w:proofErr w:type="gramStart"/>
            <w:r w:rsidRPr="006D7F6D">
              <w:rPr>
                <w:rFonts w:cstheme="minorHAnsi"/>
              </w:rPr>
              <w:t>occurrences</w:t>
            </w:r>
            <w:proofErr w:type="gramEnd"/>
            <w:r w:rsidRPr="006D7F6D">
              <w:rPr>
                <w:rFonts w:cstheme="minorHAnsi"/>
              </w:rPr>
              <w:t xml:space="preserve"> and cases of reportable diseases (RIDDOR); to consider the effectiveness of any action taken to prevent future similar accidents.</w:t>
            </w:r>
          </w:p>
          <w:p w14:paraId="1A715DB8" w14:textId="77777777" w:rsidR="007B5CC5" w:rsidRPr="006D7F6D" w:rsidRDefault="007B5CC5" w:rsidP="007B5CC5">
            <w:pPr>
              <w:spacing w:after="0"/>
              <w:jc w:val="both"/>
              <w:rPr>
                <w:rFonts w:cstheme="minorHAnsi"/>
              </w:rPr>
            </w:pPr>
          </w:p>
          <w:p w14:paraId="71CBA8A6" w14:textId="77777777" w:rsidR="007B5CC5" w:rsidRPr="006D7F6D" w:rsidRDefault="007B5CC5" w:rsidP="007B5CC5">
            <w:pPr>
              <w:spacing w:after="0" w:line="240" w:lineRule="auto"/>
              <w:jc w:val="both"/>
              <w:rPr>
                <w:rFonts w:cstheme="minorHAnsi"/>
              </w:rPr>
            </w:pPr>
            <w:r>
              <w:rPr>
                <w:rFonts w:cstheme="minorHAnsi"/>
              </w:rPr>
              <w:t>7</w:t>
            </w:r>
            <w:r w:rsidRPr="006D7F6D">
              <w:rPr>
                <w:rFonts w:cstheme="minorHAnsi"/>
              </w:rPr>
              <w:t>. To receive a list of all other recorded accidents or occurrences, including near misses, to consider the effectiveness of any remedial action taken to prevent future similar incidents.</w:t>
            </w:r>
          </w:p>
          <w:p w14:paraId="2D11DC5F" w14:textId="77777777" w:rsidR="007B5CC5" w:rsidRPr="006D7F6D" w:rsidRDefault="007B5CC5" w:rsidP="007B5CC5">
            <w:pPr>
              <w:spacing w:after="0"/>
              <w:jc w:val="both"/>
              <w:rPr>
                <w:rFonts w:cstheme="minorHAnsi"/>
              </w:rPr>
            </w:pPr>
          </w:p>
          <w:p w14:paraId="213FE9ED" w14:textId="77777777" w:rsidR="007B5CC5" w:rsidRPr="006D7F6D" w:rsidRDefault="007B5CC5" w:rsidP="007B5CC5">
            <w:pPr>
              <w:spacing w:after="0" w:line="240" w:lineRule="auto"/>
              <w:jc w:val="both"/>
              <w:rPr>
                <w:rFonts w:cstheme="minorHAnsi"/>
              </w:rPr>
            </w:pPr>
            <w:r>
              <w:rPr>
                <w:rFonts w:cstheme="minorHAnsi"/>
              </w:rPr>
              <w:t>8</w:t>
            </w:r>
            <w:r w:rsidRPr="006D7F6D">
              <w:rPr>
                <w:rFonts w:cstheme="minorHAnsi"/>
              </w:rPr>
              <w:t xml:space="preserve">. To consider reports, making recommendations as appropriate, resulting from formal audits of </w:t>
            </w:r>
            <w:proofErr w:type="gramStart"/>
            <w:r w:rsidRPr="006D7F6D">
              <w:rPr>
                <w:rFonts w:cstheme="minorHAnsi"/>
              </w:rPr>
              <w:t>College</w:t>
            </w:r>
            <w:proofErr w:type="gramEnd"/>
            <w:r w:rsidRPr="006D7F6D">
              <w:rPr>
                <w:rFonts w:cstheme="minorHAnsi"/>
              </w:rPr>
              <w:t xml:space="preserve"> work places and activities and such other reports as maybe submitted.</w:t>
            </w:r>
          </w:p>
          <w:p w14:paraId="2BFDF287" w14:textId="77777777" w:rsidR="007B5CC5" w:rsidRPr="006D7F6D" w:rsidRDefault="007B5CC5" w:rsidP="007B5CC5">
            <w:pPr>
              <w:spacing w:after="0"/>
              <w:jc w:val="both"/>
              <w:rPr>
                <w:rFonts w:cstheme="minorHAnsi"/>
              </w:rPr>
            </w:pPr>
          </w:p>
          <w:p w14:paraId="484DFF2E" w14:textId="77777777" w:rsidR="007B5CC5" w:rsidRPr="006D7F6D" w:rsidRDefault="007B5CC5" w:rsidP="007B5CC5">
            <w:pPr>
              <w:spacing w:after="0" w:line="240" w:lineRule="auto"/>
              <w:jc w:val="both"/>
              <w:rPr>
                <w:rFonts w:cstheme="minorHAnsi"/>
              </w:rPr>
            </w:pPr>
            <w:r>
              <w:rPr>
                <w:rFonts w:cstheme="minorHAnsi"/>
              </w:rPr>
              <w:t>9</w:t>
            </w:r>
            <w:r w:rsidRPr="006D7F6D">
              <w:rPr>
                <w:rFonts w:cstheme="minorHAnsi"/>
              </w:rPr>
              <w:t xml:space="preserve">. To request formal inspections of </w:t>
            </w:r>
            <w:proofErr w:type="gramStart"/>
            <w:r w:rsidRPr="006D7F6D">
              <w:rPr>
                <w:rFonts w:cstheme="minorHAnsi"/>
              </w:rPr>
              <w:t>work places</w:t>
            </w:r>
            <w:proofErr w:type="gramEnd"/>
            <w:r w:rsidRPr="006D7F6D">
              <w:rPr>
                <w:rFonts w:cstheme="minorHAnsi"/>
              </w:rPr>
              <w:t xml:space="preserve"> as the Committee think appropriate and to receive reports of such inspections.</w:t>
            </w:r>
          </w:p>
          <w:p w14:paraId="73437541" w14:textId="77777777" w:rsidR="007B5CC5" w:rsidRPr="006D7F6D" w:rsidRDefault="007B5CC5" w:rsidP="007B5CC5">
            <w:pPr>
              <w:pStyle w:val="ListParagraph"/>
              <w:spacing w:after="0"/>
              <w:ind w:left="0"/>
              <w:jc w:val="both"/>
              <w:rPr>
                <w:rFonts w:cstheme="minorHAnsi"/>
              </w:rPr>
            </w:pPr>
          </w:p>
          <w:p w14:paraId="7DF62DE1" w14:textId="77777777" w:rsidR="007B5CC5" w:rsidRPr="006D7F6D" w:rsidRDefault="007B5CC5" w:rsidP="007B5CC5">
            <w:pPr>
              <w:pStyle w:val="NoSpacing"/>
              <w:jc w:val="both"/>
              <w:rPr>
                <w:rFonts w:cstheme="minorHAnsi"/>
              </w:rPr>
            </w:pPr>
            <w:r>
              <w:rPr>
                <w:rFonts w:cstheme="minorHAnsi"/>
              </w:rPr>
              <w:t>10</w:t>
            </w:r>
            <w:r w:rsidRPr="006D7F6D">
              <w:rPr>
                <w:rFonts w:cstheme="minorHAnsi"/>
              </w:rPr>
              <w:t xml:space="preserve">. </w:t>
            </w:r>
            <w:r>
              <w:rPr>
                <w:rFonts w:cstheme="minorHAnsi"/>
              </w:rPr>
              <w:t>To e</w:t>
            </w:r>
            <w:r w:rsidRPr="006D7F6D">
              <w:rPr>
                <w:rFonts w:cstheme="minorHAnsi"/>
              </w:rPr>
              <w:t>stablish specific safety sub-committees and working groups as appropriate.</w:t>
            </w:r>
          </w:p>
          <w:p w14:paraId="684B06E6" w14:textId="77777777" w:rsidR="007B5CC5" w:rsidRPr="006D7F6D" w:rsidRDefault="007B5CC5" w:rsidP="007B5CC5">
            <w:pPr>
              <w:spacing w:after="0"/>
              <w:jc w:val="both"/>
              <w:rPr>
                <w:rFonts w:cstheme="minorHAnsi"/>
              </w:rPr>
            </w:pPr>
          </w:p>
          <w:p w14:paraId="215490A1" w14:textId="77777777" w:rsidR="007B5CC5" w:rsidRPr="006D7F6D" w:rsidRDefault="007B5CC5" w:rsidP="007B5CC5">
            <w:pPr>
              <w:spacing w:after="0" w:line="240" w:lineRule="auto"/>
              <w:jc w:val="both"/>
              <w:rPr>
                <w:rFonts w:cstheme="minorHAnsi"/>
              </w:rPr>
            </w:pPr>
            <w:r>
              <w:rPr>
                <w:rFonts w:cstheme="minorHAnsi"/>
              </w:rPr>
              <w:t>11</w:t>
            </w:r>
            <w:r w:rsidRPr="006D7F6D">
              <w:rPr>
                <w:rFonts w:cstheme="minorHAnsi"/>
              </w:rPr>
              <w:t xml:space="preserve">. To consider and keep under review building work, which may be needed to conform to good health, </w:t>
            </w:r>
            <w:proofErr w:type="gramStart"/>
            <w:r w:rsidRPr="006D7F6D">
              <w:rPr>
                <w:rFonts w:cstheme="minorHAnsi"/>
              </w:rPr>
              <w:t>safety</w:t>
            </w:r>
            <w:proofErr w:type="gramEnd"/>
            <w:r w:rsidRPr="006D7F6D">
              <w:rPr>
                <w:rFonts w:cstheme="minorHAnsi"/>
              </w:rPr>
              <w:t xml:space="preserve"> and welfare practice.</w:t>
            </w:r>
          </w:p>
          <w:p w14:paraId="0DAFEDBC" w14:textId="77777777" w:rsidR="00520B21" w:rsidRDefault="00520B21" w:rsidP="00D66D43">
            <w:pPr>
              <w:pStyle w:val="Header"/>
              <w:jc w:val="both"/>
              <w:rPr>
                <w:rFonts w:cstheme="minorHAnsi"/>
                <w:sz w:val="24"/>
                <w:szCs w:val="32"/>
              </w:rPr>
            </w:pPr>
          </w:p>
          <w:p w14:paraId="3140006B" w14:textId="77777777" w:rsidR="007B5CC5" w:rsidRDefault="007B5CC5" w:rsidP="007B5CC5">
            <w:pPr>
              <w:spacing w:after="0" w:line="240" w:lineRule="auto"/>
              <w:jc w:val="both"/>
              <w:rPr>
                <w:rFonts w:cstheme="minorHAnsi"/>
              </w:rPr>
            </w:pPr>
            <w:r w:rsidRPr="006D7F6D">
              <w:rPr>
                <w:rFonts w:cstheme="minorHAnsi"/>
              </w:rPr>
              <w:lastRenderedPageBreak/>
              <w:t>1</w:t>
            </w:r>
            <w:r>
              <w:rPr>
                <w:rFonts w:cstheme="minorHAnsi"/>
              </w:rPr>
              <w:t>2</w:t>
            </w:r>
            <w:r w:rsidRPr="006D7F6D">
              <w:rPr>
                <w:rFonts w:cstheme="minorHAnsi"/>
              </w:rPr>
              <w:t xml:space="preserve">. To keep under review communications and publicity relating to health, </w:t>
            </w:r>
            <w:proofErr w:type="gramStart"/>
            <w:r w:rsidRPr="006D7F6D">
              <w:rPr>
                <w:rFonts w:cstheme="minorHAnsi"/>
              </w:rPr>
              <w:t>safety</w:t>
            </w:r>
            <w:proofErr w:type="gramEnd"/>
            <w:r w:rsidRPr="006D7F6D">
              <w:rPr>
                <w:rFonts w:cstheme="minorHAnsi"/>
              </w:rPr>
              <w:t xml:space="preserve"> and welfare in the College and where necessary to recommend any improvements or changes.</w:t>
            </w:r>
          </w:p>
          <w:p w14:paraId="652A0AB9" w14:textId="77777777" w:rsidR="007B5CC5" w:rsidRDefault="007B5CC5" w:rsidP="00D66D43">
            <w:pPr>
              <w:pStyle w:val="Header"/>
              <w:jc w:val="both"/>
              <w:rPr>
                <w:rFonts w:cstheme="minorHAnsi"/>
                <w:sz w:val="24"/>
                <w:szCs w:val="32"/>
              </w:rPr>
            </w:pPr>
          </w:p>
          <w:p w14:paraId="18EA52B8" w14:textId="77777777" w:rsidR="007B5CC5" w:rsidRPr="006D7F6D" w:rsidRDefault="007B5CC5" w:rsidP="007B5CC5">
            <w:pPr>
              <w:spacing w:after="0" w:line="240" w:lineRule="auto"/>
              <w:jc w:val="both"/>
              <w:rPr>
                <w:rFonts w:cstheme="minorHAnsi"/>
              </w:rPr>
            </w:pPr>
            <w:r w:rsidRPr="006D7F6D">
              <w:rPr>
                <w:rFonts w:cstheme="minorHAnsi"/>
              </w:rPr>
              <w:t>1</w:t>
            </w:r>
            <w:r>
              <w:rPr>
                <w:rFonts w:cstheme="minorHAnsi"/>
              </w:rPr>
              <w:t>3</w:t>
            </w:r>
            <w:r w:rsidRPr="006D7F6D">
              <w:rPr>
                <w:rFonts w:cstheme="minorHAnsi"/>
              </w:rPr>
              <w:t xml:space="preserve">. To consider reports and </w:t>
            </w:r>
            <w:proofErr w:type="gramStart"/>
            <w:r w:rsidRPr="006D7F6D">
              <w:rPr>
                <w:rFonts w:cstheme="minorHAnsi"/>
              </w:rPr>
              <w:t>factual information</w:t>
            </w:r>
            <w:proofErr w:type="gramEnd"/>
            <w:r w:rsidRPr="006D7F6D">
              <w:rPr>
                <w:rFonts w:cstheme="minorHAnsi"/>
              </w:rPr>
              <w:t xml:space="preserve"> provided by inspectors of the enforcing authorities under health and safety, or any other relevant legislation.  Establishing and maintain effective links with such persons, as appropriate.</w:t>
            </w:r>
          </w:p>
          <w:p w14:paraId="70742BD1" w14:textId="77777777" w:rsidR="007B5CC5" w:rsidRPr="006D7F6D" w:rsidRDefault="007B5CC5" w:rsidP="007B5CC5">
            <w:pPr>
              <w:spacing w:after="0"/>
              <w:jc w:val="both"/>
              <w:rPr>
                <w:rFonts w:cstheme="minorHAnsi"/>
              </w:rPr>
            </w:pPr>
          </w:p>
          <w:p w14:paraId="33C1DC00" w14:textId="77777777" w:rsidR="007B5CC5" w:rsidRPr="006D7F6D" w:rsidRDefault="007B5CC5" w:rsidP="007B5CC5">
            <w:pPr>
              <w:spacing w:after="0" w:line="240" w:lineRule="auto"/>
              <w:jc w:val="both"/>
              <w:rPr>
                <w:rFonts w:cstheme="minorHAnsi"/>
              </w:rPr>
            </w:pPr>
            <w:r w:rsidRPr="006D7F6D">
              <w:rPr>
                <w:rFonts w:cstheme="minorHAnsi"/>
              </w:rPr>
              <w:t>1</w:t>
            </w:r>
            <w:r>
              <w:rPr>
                <w:rFonts w:cstheme="minorHAnsi"/>
              </w:rPr>
              <w:t>4</w:t>
            </w:r>
            <w:r w:rsidRPr="006D7F6D">
              <w:rPr>
                <w:rFonts w:cstheme="minorHAnsi"/>
              </w:rPr>
              <w:t xml:space="preserve">. </w:t>
            </w:r>
            <w:r>
              <w:rPr>
                <w:rFonts w:cstheme="minorHAnsi"/>
              </w:rPr>
              <w:t>To c</w:t>
            </w:r>
            <w:r w:rsidRPr="006D7F6D">
              <w:rPr>
                <w:rFonts w:cstheme="minorHAnsi"/>
              </w:rPr>
              <w:t>onsider relevant health, safety and wellbeing matters raised by members or by other bona fide College members.</w:t>
            </w:r>
          </w:p>
          <w:p w14:paraId="2F21B535" w14:textId="77777777" w:rsidR="007B5CC5" w:rsidRPr="006D7F6D" w:rsidRDefault="007B5CC5" w:rsidP="007B5CC5">
            <w:pPr>
              <w:pStyle w:val="ListParagraph"/>
              <w:spacing w:after="0"/>
              <w:ind w:left="0"/>
              <w:jc w:val="both"/>
              <w:rPr>
                <w:rFonts w:cstheme="minorHAnsi"/>
                <w:bCs/>
              </w:rPr>
            </w:pPr>
          </w:p>
          <w:p w14:paraId="3B31777D" w14:textId="77777777" w:rsidR="007B5CC5" w:rsidRPr="006D7F6D" w:rsidRDefault="007B5CC5" w:rsidP="007B5CC5">
            <w:pPr>
              <w:spacing w:after="0" w:line="240" w:lineRule="auto"/>
              <w:jc w:val="both"/>
              <w:rPr>
                <w:rFonts w:cstheme="minorHAnsi"/>
              </w:rPr>
            </w:pPr>
            <w:r w:rsidRPr="006D7F6D">
              <w:rPr>
                <w:rFonts w:cstheme="minorHAnsi"/>
                <w:bCs/>
              </w:rPr>
              <w:t>1</w:t>
            </w:r>
            <w:r>
              <w:rPr>
                <w:rFonts w:cstheme="minorHAnsi"/>
                <w:bCs/>
              </w:rPr>
              <w:t>5. To c</w:t>
            </w:r>
            <w:r w:rsidRPr="006D7F6D">
              <w:rPr>
                <w:rFonts w:cstheme="minorHAnsi"/>
                <w:bCs/>
              </w:rPr>
              <w:t xml:space="preserve">onsider operational </w:t>
            </w:r>
            <w:r w:rsidRPr="006D7F6D">
              <w:rPr>
                <w:rFonts w:cstheme="minorHAnsi"/>
              </w:rPr>
              <w:t>risk associated with all ongoing operational procedures and systems, both on and off campus.</w:t>
            </w:r>
          </w:p>
          <w:p w14:paraId="73C1C9F4" w14:textId="77777777" w:rsidR="007B5CC5" w:rsidRPr="006D7F6D" w:rsidRDefault="007B5CC5" w:rsidP="007B5CC5">
            <w:pPr>
              <w:pStyle w:val="ListParagraph"/>
              <w:spacing w:after="0"/>
              <w:ind w:left="0"/>
              <w:jc w:val="both"/>
              <w:rPr>
                <w:rFonts w:cstheme="minorHAnsi"/>
              </w:rPr>
            </w:pPr>
          </w:p>
          <w:p w14:paraId="6C6D83C8" w14:textId="77777777" w:rsidR="007B5CC5" w:rsidRPr="006D7F6D" w:rsidRDefault="007B5CC5" w:rsidP="007B5CC5">
            <w:pPr>
              <w:spacing w:after="0" w:line="240" w:lineRule="auto"/>
              <w:jc w:val="both"/>
              <w:rPr>
                <w:rFonts w:cstheme="minorHAnsi"/>
              </w:rPr>
            </w:pPr>
            <w:r w:rsidRPr="006D7F6D">
              <w:rPr>
                <w:rFonts w:cstheme="minorHAnsi"/>
              </w:rPr>
              <w:t>1</w:t>
            </w:r>
            <w:r>
              <w:rPr>
                <w:rFonts w:cstheme="minorHAnsi"/>
              </w:rPr>
              <w:t>6. To r</w:t>
            </w:r>
            <w:r w:rsidRPr="006D7F6D">
              <w:rPr>
                <w:rFonts w:cstheme="minorHAnsi"/>
              </w:rPr>
              <w:t>ecognise and support the legislative duties of Safety Representatives.</w:t>
            </w:r>
          </w:p>
          <w:p w14:paraId="40659075" w14:textId="77777777" w:rsidR="007B5CC5" w:rsidRPr="006D7F6D" w:rsidRDefault="007B5CC5" w:rsidP="007B5CC5">
            <w:pPr>
              <w:pStyle w:val="ListParagraph"/>
              <w:spacing w:after="0"/>
              <w:ind w:left="0"/>
              <w:jc w:val="both"/>
              <w:rPr>
                <w:rFonts w:cstheme="minorHAnsi"/>
              </w:rPr>
            </w:pPr>
          </w:p>
          <w:p w14:paraId="0C5F1A31" w14:textId="1363BBA3" w:rsidR="007B5CC5" w:rsidRPr="00D66D43" w:rsidRDefault="007B5CC5" w:rsidP="007B5CC5">
            <w:pPr>
              <w:pStyle w:val="Header"/>
              <w:jc w:val="both"/>
              <w:rPr>
                <w:rFonts w:cstheme="minorHAnsi"/>
                <w:sz w:val="24"/>
                <w:szCs w:val="32"/>
              </w:rPr>
            </w:pPr>
            <w:r w:rsidRPr="006D7F6D">
              <w:rPr>
                <w:rFonts w:cstheme="minorHAnsi"/>
              </w:rPr>
              <w:t>1</w:t>
            </w:r>
            <w:r>
              <w:rPr>
                <w:rFonts w:cstheme="minorHAnsi"/>
              </w:rPr>
              <w:t>7</w:t>
            </w:r>
            <w:r w:rsidRPr="006D7F6D">
              <w:rPr>
                <w:rFonts w:cstheme="minorHAnsi"/>
              </w:rPr>
              <w:t xml:space="preserve">. </w:t>
            </w:r>
            <w:r>
              <w:rPr>
                <w:rFonts w:cstheme="minorHAnsi"/>
              </w:rPr>
              <w:t>To s</w:t>
            </w:r>
            <w:r w:rsidRPr="006D7F6D">
              <w:rPr>
                <w:rFonts w:cstheme="minorHAnsi"/>
              </w:rPr>
              <w:t>ubmit quarterly and annual reports to F</w:t>
            </w:r>
            <w:r>
              <w:rPr>
                <w:rFonts w:cstheme="minorHAnsi"/>
              </w:rPr>
              <w:t xml:space="preserve">inance, Employment &amp; General </w:t>
            </w:r>
            <w:r w:rsidRPr="006D7F6D">
              <w:rPr>
                <w:rFonts w:cstheme="minorHAnsi"/>
              </w:rPr>
              <w:t>P</w:t>
            </w:r>
            <w:r>
              <w:rPr>
                <w:rFonts w:cstheme="minorHAnsi"/>
              </w:rPr>
              <w:t>urposes committee</w:t>
            </w:r>
            <w:r w:rsidRPr="006D7F6D">
              <w:rPr>
                <w:rFonts w:cstheme="minorHAnsi"/>
              </w:rPr>
              <w:t>, summarising the Committee's work in terms of safety and occupational health.</w:t>
            </w:r>
          </w:p>
        </w:tc>
      </w:tr>
      <w:tr w:rsidR="00520B21" w:rsidRPr="00DD5559" w14:paraId="101B1F8F" w14:textId="77777777" w:rsidTr="00D66D43">
        <w:trPr>
          <w:trHeight w:val="1134"/>
        </w:trPr>
        <w:tc>
          <w:tcPr>
            <w:tcW w:w="3119" w:type="dxa"/>
            <w:shd w:val="clear" w:color="auto" w:fill="D9D9D9"/>
          </w:tcPr>
          <w:p w14:paraId="5DC918A1" w14:textId="4C299E94" w:rsidR="00520B21" w:rsidRPr="00D66D43" w:rsidRDefault="00520B21" w:rsidP="00D66D43">
            <w:pPr>
              <w:pStyle w:val="Header"/>
              <w:jc w:val="both"/>
              <w:rPr>
                <w:rFonts w:cstheme="minorHAnsi"/>
                <w:b/>
                <w:sz w:val="28"/>
                <w:szCs w:val="28"/>
              </w:rPr>
            </w:pPr>
            <w:r w:rsidRPr="00D66D43">
              <w:rPr>
                <w:rFonts w:cstheme="minorHAnsi"/>
                <w:b/>
                <w:sz w:val="28"/>
                <w:szCs w:val="28"/>
              </w:rPr>
              <w:lastRenderedPageBreak/>
              <w:t>Membership</w:t>
            </w:r>
            <w:r w:rsidR="00691C28">
              <w:rPr>
                <w:rFonts w:cstheme="minorHAnsi"/>
                <w:b/>
                <w:sz w:val="28"/>
                <w:szCs w:val="28"/>
              </w:rPr>
              <w:t xml:space="preserve"> &amp; Meeting Arrangements</w:t>
            </w:r>
          </w:p>
        </w:tc>
        <w:tc>
          <w:tcPr>
            <w:tcW w:w="7649" w:type="dxa"/>
            <w:shd w:val="clear" w:color="auto" w:fill="auto"/>
          </w:tcPr>
          <w:p w14:paraId="6BD8CE85" w14:textId="77777777" w:rsidR="00520B21" w:rsidRDefault="007B5CC5" w:rsidP="00D66D43">
            <w:pPr>
              <w:spacing w:after="0" w:line="240" w:lineRule="auto"/>
              <w:jc w:val="both"/>
              <w:rPr>
                <w:rFonts w:cstheme="minorHAnsi"/>
              </w:rPr>
            </w:pPr>
            <w:r w:rsidRPr="006D7F6D">
              <w:rPr>
                <w:rFonts w:cstheme="minorHAnsi"/>
              </w:rPr>
              <w:t>To ensure full representation at each meeting of the College</w:t>
            </w:r>
            <w:r>
              <w:rPr>
                <w:rFonts w:cstheme="minorHAnsi"/>
              </w:rPr>
              <w:t xml:space="preserve"> Health and </w:t>
            </w:r>
            <w:r w:rsidRPr="006D7F6D">
              <w:rPr>
                <w:rFonts w:cstheme="minorHAnsi"/>
              </w:rPr>
              <w:t>Safety Committee, each member will also nominate a deputy. This person will be required to deputise at meetings where the nominated representative is unable to attend.</w:t>
            </w:r>
          </w:p>
          <w:p w14:paraId="446B25B9" w14:textId="77777777" w:rsidR="007B5CC5" w:rsidRDefault="007B5CC5" w:rsidP="00D66D43">
            <w:pPr>
              <w:spacing w:after="0" w:line="240" w:lineRule="auto"/>
              <w:jc w:val="both"/>
              <w:rPr>
                <w:rFonts w:cstheme="minorHAnsi"/>
              </w:rPr>
            </w:pPr>
          </w:p>
          <w:p w14:paraId="6B340811" w14:textId="77777777" w:rsidR="007B5CC5" w:rsidRDefault="007B5CC5" w:rsidP="00D66D43">
            <w:pPr>
              <w:spacing w:after="0" w:line="240" w:lineRule="auto"/>
              <w:jc w:val="both"/>
              <w:rPr>
                <w:rFonts w:cstheme="minorHAnsi"/>
              </w:rPr>
            </w:pPr>
            <w:r>
              <w:rPr>
                <w:rFonts w:cstheme="minorHAnsi"/>
              </w:rPr>
              <w:t xml:space="preserve">The committee will meet </w:t>
            </w:r>
            <w:r>
              <w:rPr>
                <w:rFonts w:cstheme="minorHAnsi"/>
                <w:b/>
                <w:bCs/>
              </w:rPr>
              <w:t>three</w:t>
            </w:r>
            <w:r>
              <w:rPr>
                <w:rFonts w:cstheme="minorHAnsi"/>
              </w:rPr>
              <w:t xml:space="preserve"> times per academic year (increasing to a max of six meetings in exceptional circumstances).</w:t>
            </w:r>
          </w:p>
          <w:p w14:paraId="6537288A" w14:textId="337D5BB5" w:rsidR="007B5CC5" w:rsidRPr="00D66D43" w:rsidRDefault="007B5CC5" w:rsidP="00D66D43">
            <w:pPr>
              <w:spacing w:after="0" w:line="240" w:lineRule="auto"/>
              <w:jc w:val="both"/>
              <w:rPr>
                <w:rFonts w:cstheme="minorHAnsi"/>
                <w:sz w:val="24"/>
                <w:szCs w:val="32"/>
              </w:rPr>
            </w:pPr>
          </w:p>
        </w:tc>
      </w:tr>
      <w:tr w:rsidR="007B5CC5" w:rsidRPr="00DD5559" w14:paraId="3C653B76" w14:textId="77777777" w:rsidTr="00D47665">
        <w:trPr>
          <w:trHeight w:val="1134"/>
        </w:trPr>
        <w:tc>
          <w:tcPr>
            <w:tcW w:w="3119" w:type="dxa"/>
            <w:shd w:val="clear" w:color="auto" w:fill="D9D9D9"/>
          </w:tcPr>
          <w:p w14:paraId="77F757E4" w14:textId="5913EE9C" w:rsidR="007B5CC5" w:rsidRPr="00D66D43" w:rsidRDefault="007B5CC5" w:rsidP="007B5CC5">
            <w:pPr>
              <w:pStyle w:val="Header"/>
              <w:jc w:val="both"/>
              <w:rPr>
                <w:rFonts w:cstheme="minorHAnsi"/>
                <w:b/>
                <w:sz w:val="28"/>
                <w:szCs w:val="28"/>
              </w:rPr>
            </w:pPr>
            <w:r w:rsidRPr="00D66D43">
              <w:rPr>
                <w:rFonts w:cstheme="minorHAnsi"/>
                <w:b/>
                <w:sz w:val="28"/>
                <w:szCs w:val="28"/>
              </w:rPr>
              <w:t>Report</w:t>
            </w:r>
            <w:r>
              <w:rPr>
                <w:rFonts w:cstheme="minorHAnsi"/>
                <w:b/>
                <w:sz w:val="28"/>
                <w:szCs w:val="28"/>
              </w:rPr>
              <w:t>ing</w:t>
            </w:r>
          </w:p>
        </w:tc>
        <w:tc>
          <w:tcPr>
            <w:tcW w:w="7649" w:type="dxa"/>
            <w:shd w:val="clear" w:color="auto" w:fill="auto"/>
            <w:vAlign w:val="center"/>
          </w:tcPr>
          <w:p w14:paraId="327E8FF3" w14:textId="6435DC7D" w:rsidR="007B5CC5" w:rsidRPr="00D66D43" w:rsidRDefault="007B5CC5" w:rsidP="007B5CC5">
            <w:pPr>
              <w:widowControl w:val="0"/>
              <w:tabs>
                <w:tab w:val="left" w:pos="220"/>
                <w:tab w:val="left" w:pos="720"/>
              </w:tabs>
              <w:autoSpaceDE w:val="0"/>
              <w:autoSpaceDN w:val="0"/>
              <w:adjustRightInd w:val="0"/>
              <w:spacing w:after="0" w:line="240" w:lineRule="auto"/>
              <w:jc w:val="both"/>
              <w:rPr>
                <w:rFonts w:cstheme="minorHAnsi"/>
                <w:color w:val="262626"/>
                <w:sz w:val="24"/>
                <w:szCs w:val="32"/>
              </w:rPr>
            </w:pPr>
            <w:r>
              <w:rPr>
                <w:rFonts w:cstheme="minorHAnsi"/>
              </w:rPr>
              <w:t xml:space="preserve">To provide the </w:t>
            </w:r>
            <w:r w:rsidRPr="006D7F6D">
              <w:rPr>
                <w:rFonts w:cstheme="minorHAnsi"/>
              </w:rPr>
              <w:t>FE</w:t>
            </w:r>
            <w:r>
              <w:rPr>
                <w:rFonts w:cstheme="minorHAnsi"/>
              </w:rPr>
              <w:t>&amp;</w:t>
            </w:r>
            <w:r w:rsidRPr="006D7F6D">
              <w:rPr>
                <w:rFonts w:cstheme="minorHAnsi"/>
              </w:rPr>
              <w:t>GP</w:t>
            </w:r>
            <w:r>
              <w:rPr>
                <w:rFonts w:cstheme="minorHAnsi"/>
              </w:rPr>
              <w:t xml:space="preserve"> Committee</w:t>
            </w:r>
            <w:r w:rsidRPr="006D7F6D">
              <w:rPr>
                <w:rFonts w:cstheme="minorHAnsi"/>
              </w:rPr>
              <w:t xml:space="preserve"> </w:t>
            </w:r>
            <w:r>
              <w:rPr>
                <w:rFonts w:cstheme="minorHAnsi"/>
              </w:rPr>
              <w:t xml:space="preserve">with </w:t>
            </w:r>
            <w:r w:rsidRPr="006D7F6D">
              <w:rPr>
                <w:rFonts w:cstheme="minorHAnsi"/>
              </w:rPr>
              <w:t>quarterly and annual reports.</w:t>
            </w:r>
          </w:p>
        </w:tc>
      </w:tr>
      <w:tr w:rsidR="007B5CC5" w:rsidRPr="00DD5559" w14:paraId="3F9172F8" w14:textId="77777777" w:rsidTr="00D66D43">
        <w:trPr>
          <w:trHeight w:val="1134"/>
        </w:trPr>
        <w:tc>
          <w:tcPr>
            <w:tcW w:w="3119" w:type="dxa"/>
            <w:shd w:val="clear" w:color="auto" w:fill="D9D9D9"/>
          </w:tcPr>
          <w:p w14:paraId="42EA8A7F" w14:textId="4B878743" w:rsidR="007B5CC5" w:rsidRPr="00D66D43" w:rsidRDefault="007B5CC5" w:rsidP="007B5CC5">
            <w:pPr>
              <w:pStyle w:val="Header"/>
              <w:jc w:val="both"/>
              <w:rPr>
                <w:rFonts w:cstheme="minorHAnsi"/>
                <w:b/>
                <w:sz w:val="28"/>
                <w:szCs w:val="28"/>
              </w:rPr>
            </w:pPr>
            <w:r w:rsidRPr="00D66D43">
              <w:rPr>
                <w:rFonts w:cstheme="minorHAnsi"/>
                <w:b/>
                <w:sz w:val="28"/>
                <w:szCs w:val="28"/>
              </w:rPr>
              <w:t>Review</w:t>
            </w:r>
          </w:p>
        </w:tc>
        <w:tc>
          <w:tcPr>
            <w:tcW w:w="7649" w:type="dxa"/>
            <w:shd w:val="clear" w:color="auto" w:fill="auto"/>
          </w:tcPr>
          <w:p w14:paraId="3D96AC93" w14:textId="77777777" w:rsidR="007B5CC5" w:rsidRDefault="007B5CC5" w:rsidP="007B5CC5">
            <w:pPr>
              <w:pStyle w:val="Header"/>
              <w:jc w:val="both"/>
              <w:rPr>
                <w:rFonts w:cstheme="minorHAnsi"/>
                <w:sz w:val="24"/>
                <w:szCs w:val="32"/>
              </w:rPr>
            </w:pPr>
          </w:p>
          <w:p w14:paraId="51BFA107" w14:textId="4A4E8C86" w:rsidR="007B5CC5" w:rsidRPr="00D66D43" w:rsidRDefault="007B5CC5" w:rsidP="007B5CC5">
            <w:pPr>
              <w:pStyle w:val="Header"/>
              <w:jc w:val="both"/>
              <w:rPr>
                <w:rFonts w:cstheme="minorHAnsi"/>
                <w:sz w:val="24"/>
                <w:szCs w:val="32"/>
              </w:rPr>
            </w:pPr>
            <w:r>
              <w:rPr>
                <w:rFonts w:cstheme="minorHAnsi"/>
                <w:sz w:val="24"/>
                <w:szCs w:val="32"/>
              </w:rPr>
              <w:t>Annually.</w:t>
            </w:r>
          </w:p>
        </w:tc>
      </w:tr>
    </w:tbl>
    <w:p w14:paraId="5CF41E9D" w14:textId="1DA04030" w:rsidR="00F0064E" w:rsidRDefault="00F0064E" w:rsidP="00522651">
      <w:pPr>
        <w:pStyle w:val="NoSpacing"/>
      </w:pPr>
    </w:p>
    <w:sectPr w:rsidR="00F0064E" w:rsidSect="00691C28">
      <w:footerReference w:type="default" r:id="rId9"/>
      <w:pgSz w:w="11906" w:h="16838" w:code="9"/>
      <w:pgMar w:top="1985" w:right="56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6370" w14:textId="77777777" w:rsidR="008239AB" w:rsidRDefault="008239AB">
      <w:pPr>
        <w:spacing w:after="0" w:line="240" w:lineRule="auto"/>
      </w:pPr>
      <w:r>
        <w:separator/>
      </w:r>
    </w:p>
  </w:endnote>
  <w:endnote w:type="continuationSeparator" w:id="0">
    <w:p w14:paraId="4C54DCCD" w14:textId="77777777" w:rsidR="008239AB" w:rsidRDefault="008239AB">
      <w:pPr>
        <w:spacing w:after="0" w:line="240" w:lineRule="auto"/>
      </w:pPr>
      <w:r>
        <w:continuationSeparator/>
      </w:r>
    </w:p>
  </w:endnote>
  <w:endnote w:type="continuationNotice" w:id="1">
    <w:p w14:paraId="2A1B9AF2" w14:textId="77777777" w:rsidR="008239AB" w:rsidRDefault="00823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BA97" w14:textId="51D002C5" w:rsidR="00500A8C" w:rsidRPr="00A70E29" w:rsidRDefault="007B5CC5" w:rsidP="001C07E6">
    <w:pPr>
      <w:pStyle w:val="Footer"/>
      <w:tabs>
        <w:tab w:val="clear" w:pos="4513"/>
        <w:tab w:val="clear" w:pos="9026"/>
      </w:tabs>
      <w:ind w:hanging="851"/>
      <w:rPr>
        <w:rFonts w:cstheme="minorHAnsi"/>
      </w:rPr>
    </w:pPr>
    <w:r>
      <w:rPr>
        <w:rFonts w:cstheme="minorHAnsi"/>
      </w:rPr>
      <w:t>5</w:t>
    </w:r>
    <w:r w:rsidRPr="007B5CC5">
      <w:rPr>
        <w:rFonts w:cstheme="minorHAnsi"/>
        <w:vertAlign w:val="superscript"/>
      </w:rPr>
      <w:t>th</w:t>
    </w:r>
    <w:r>
      <w:rPr>
        <w:rFonts w:cstheme="minorHAnsi"/>
      </w:rPr>
      <w:t xml:space="preserve"> June 2022</w:t>
    </w:r>
    <w:r w:rsidR="00D66D43">
      <w:rPr>
        <w:rFonts w:cstheme="minorHAnsi"/>
      </w:rPr>
      <w:tab/>
    </w:r>
    <w:r w:rsidR="000E5CDC" w:rsidRPr="00A70E29">
      <w:rPr>
        <w:rFonts w:cstheme="minorHAnsi"/>
      </w:rPr>
      <w:tab/>
    </w:r>
    <w:r w:rsidR="000E5CDC" w:rsidRPr="00A70E29">
      <w:rPr>
        <w:rFonts w:cstheme="minorHAnsi"/>
      </w:rPr>
      <w:tab/>
    </w:r>
    <w:r w:rsidR="000E5CDC" w:rsidRPr="00A70E29">
      <w:rPr>
        <w:rFonts w:cstheme="minorHAnsi"/>
      </w:rPr>
      <w:tab/>
    </w:r>
    <w:r w:rsidR="000E5CDC" w:rsidRPr="00A70E29">
      <w:rPr>
        <w:rFonts w:cstheme="minorHAnsi"/>
      </w:rPr>
      <w:tab/>
    </w:r>
    <w:r w:rsidR="00500A8C" w:rsidRPr="00A70E29">
      <w:rPr>
        <w:rFonts w:cstheme="minorHAnsi"/>
      </w:rPr>
      <w:tab/>
    </w:r>
    <w:r w:rsidR="00500A8C" w:rsidRPr="00A70E29">
      <w:rPr>
        <w:rFonts w:cstheme="minorHAnsi"/>
      </w:rPr>
      <w:tab/>
    </w:r>
    <w:r w:rsidR="00500A8C" w:rsidRPr="00A70E29">
      <w:rPr>
        <w:rFonts w:cstheme="minorHAnsi"/>
      </w:rPr>
      <w:tab/>
    </w:r>
    <w:r w:rsidR="00500A8C" w:rsidRPr="00A70E29">
      <w:rPr>
        <w:rFonts w:cstheme="minorHAnsi"/>
      </w:rPr>
      <w:tab/>
    </w:r>
    <w:r w:rsidR="00500A8C" w:rsidRPr="00A70E29">
      <w:rPr>
        <w:rFonts w:cstheme="minorHAnsi"/>
      </w:rPr>
      <w:tab/>
    </w:r>
    <w:r w:rsidR="00500A8C" w:rsidRPr="00A70E29">
      <w:rPr>
        <w:rFonts w:cstheme="minorHAnsi"/>
      </w:rPr>
      <w:tab/>
    </w:r>
    <w:r w:rsidR="003165C3" w:rsidRPr="00A70E29">
      <w:rPr>
        <w:rFonts w:cstheme="minorHAnsi"/>
      </w:rPr>
      <w:tab/>
    </w:r>
    <w:r w:rsidR="00500A8C" w:rsidRPr="00A70E29">
      <w:rPr>
        <w:rFonts w:cstheme="minorHAnsi"/>
        <w:b/>
        <w:bCs/>
        <w:noProof/>
      </w:rPr>
      <w:fldChar w:fldCharType="begin"/>
    </w:r>
    <w:r w:rsidR="00500A8C" w:rsidRPr="00A70E29">
      <w:rPr>
        <w:rFonts w:cstheme="minorHAnsi"/>
      </w:rPr>
      <w:instrText xml:space="preserve"> PAGE   \* MERGEFORMAT </w:instrText>
    </w:r>
    <w:r w:rsidR="00500A8C" w:rsidRPr="00A70E29">
      <w:rPr>
        <w:rFonts w:cstheme="minorHAnsi"/>
      </w:rPr>
      <w:fldChar w:fldCharType="separate"/>
    </w:r>
    <w:r w:rsidR="00522651" w:rsidRPr="00522651">
      <w:rPr>
        <w:rFonts w:cstheme="minorHAnsi"/>
        <w:b/>
        <w:bCs/>
        <w:noProof/>
      </w:rPr>
      <w:t>1</w:t>
    </w:r>
    <w:r w:rsidR="00500A8C" w:rsidRPr="00A70E29">
      <w:rPr>
        <w:rFonts w:cstheme="minorHAnsi"/>
        <w:b/>
        <w:bCs/>
        <w:noProof/>
      </w:rPr>
      <w:fldChar w:fldCharType="end"/>
    </w:r>
    <w:r w:rsidR="00500A8C" w:rsidRPr="00A70E29">
      <w:rPr>
        <w:rFonts w:cstheme="minorHAnsi"/>
        <w:b/>
        <w:bCs/>
      </w:rPr>
      <w:t xml:space="preserve"> </w:t>
    </w:r>
    <w:r w:rsidR="00500A8C" w:rsidRPr="00A70E29">
      <w:rPr>
        <w:rFonts w:cstheme="minorHAnsi"/>
      </w:rPr>
      <w:t>|</w:t>
    </w:r>
    <w:r w:rsidR="00500A8C" w:rsidRPr="00A70E29">
      <w:rPr>
        <w:rFonts w:cstheme="minorHAnsi"/>
        <w:b/>
        <w:bCs/>
      </w:rPr>
      <w:t xml:space="preserve"> </w:t>
    </w:r>
    <w:r w:rsidR="00500A8C" w:rsidRPr="00A70E29">
      <w:rPr>
        <w:rFonts w:cstheme="minorHAnsi"/>
        <w:color w:val="808080" w:themeColor="background1" w:themeShade="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EE11" w14:textId="77777777" w:rsidR="008239AB" w:rsidRDefault="008239AB">
      <w:pPr>
        <w:spacing w:after="0" w:line="240" w:lineRule="auto"/>
      </w:pPr>
      <w:r>
        <w:separator/>
      </w:r>
    </w:p>
  </w:footnote>
  <w:footnote w:type="continuationSeparator" w:id="0">
    <w:p w14:paraId="7B5F4471" w14:textId="77777777" w:rsidR="008239AB" w:rsidRDefault="008239AB">
      <w:pPr>
        <w:spacing w:after="0" w:line="240" w:lineRule="auto"/>
      </w:pPr>
      <w:r>
        <w:continuationSeparator/>
      </w:r>
    </w:p>
  </w:footnote>
  <w:footnote w:type="continuationNotice" w:id="1">
    <w:p w14:paraId="55C142BD" w14:textId="77777777" w:rsidR="008239AB" w:rsidRDefault="008239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33"/>
    <w:multiLevelType w:val="hybridMultilevel"/>
    <w:tmpl w:val="F6B2C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6467D"/>
    <w:multiLevelType w:val="hybridMultilevel"/>
    <w:tmpl w:val="4BEE6A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612BE"/>
    <w:multiLevelType w:val="hybridMultilevel"/>
    <w:tmpl w:val="C6B48B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77087"/>
    <w:multiLevelType w:val="hybridMultilevel"/>
    <w:tmpl w:val="370E9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34138"/>
    <w:multiLevelType w:val="hybridMultilevel"/>
    <w:tmpl w:val="11A41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841389"/>
    <w:multiLevelType w:val="hybridMultilevel"/>
    <w:tmpl w:val="AD566B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024C8F"/>
    <w:multiLevelType w:val="hybridMultilevel"/>
    <w:tmpl w:val="F5FC4F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13067"/>
    <w:multiLevelType w:val="hybridMultilevel"/>
    <w:tmpl w:val="FE103D68"/>
    <w:lvl w:ilvl="0" w:tplc="2DCEAD5C">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10318F"/>
    <w:multiLevelType w:val="hybridMultilevel"/>
    <w:tmpl w:val="C65C4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44024"/>
    <w:multiLevelType w:val="hybridMultilevel"/>
    <w:tmpl w:val="F47CEFF8"/>
    <w:lvl w:ilvl="0" w:tplc="51EC27C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36B47"/>
    <w:multiLevelType w:val="hybridMultilevel"/>
    <w:tmpl w:val="5EECF8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2545C"/>
    <w:multiLevelType w:val="hybridMultilevel"/>
    <w:tmpl w:val="6D362794"/>
    <w:lvl w:ilvl="0" w:tplc="EF88D9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0"/>
  </w:num>
  <w:num w:numId="5">
    <w:abstractNumId w:val="2"/>
  </w:num>
  <w:num w:numId="6">
    <w:abstractNumId w:val="5"/>
  </w:num>
  <w:num w:numId="7">
    <w:abstractNumId w:val="4"/>
  </w:num>
  <w:num w:numId="8">
    <w:abstractNumId w:val="1"/>
  </w:num>
  <w:num w:numId="9">
    <w:abstractNumId w:val="7"/>
  </w:num>
  <w:num w:numId="10">
    <w:abstractNumId w:val="8"/>
  </w:num>
  <w:num w:numId="11">
    <w:abstractNumId w:val="11"/>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4E"/>
    <w:rsid w:val="00003695"/>
    <w:rsid w:val="00007120"/>
    <w:rsid w:val="000138DA"/>
    <w:rsid w:val="00015CFB"/>
    <w:rsid w:val="0002089B"/>
    <w:rsid w:val="000219F7"/>
    <w:rsid w:val="00021BC0"/>
    <w:rsid w:val="00023D64"/>
    <w:rsid w:val="00037275"/>
    <w:rsid w:val="000421AF"/>
    <w:rsid w:val="000444DD"/>
    <w:rsid w:val="00047974"/>
    <w:rsid w:val="000746B7"/>
    <w:rsid w:val="00083243"/>
    <w:rsid w:val="00086850"/>
    <w:rsid w:val="00092D1B"/>
    <w:rsid w:val="00096A1B"/>
    <w:rsid w:val="00096C49"/>
    <w:rsid w:val="00097A19"/>
    <w:rsid w:val="000A2260"/>
    <w:rsid w:val="000A4A57"/>
    <w:rsid w:val="000A7D47"/>
    <w:rsid w:val="000C1A51"/>
    <w:rsid w:val="000C1EC3"/>
    <w:rsid w:val="000C323A"/>
    <w:rsid w:val="000C4494"/>
    <w:rsid w:val="000C4B20"/>
    <w:rsid w:val="000E462C"/>
    <w:rsid w:val="000E4A4B"/>
    <w:rsid w:val="000E5CDC"/>
    <w:rsid w:val="000F45CE"/>
    <w:rsid w:val="000F6BD0"/>
    <w:rsid w:val="0011458C"/>
    <w:rsid w:val="00117D57"/>
    <w:rsid w:val="001229DE"/>
    <w:rsid w:val="0013503B"/>
    <w:rsid w:val="001353FF"/>
    <w:rsid w:val="00137666"/>
    <w:rsid w:val="001461FF"/>
    <w:rsid w:val="00147FD6"/>
    <w:rsid w:val="0015017D"/>
    <w:rsid w:val="00154DAF"/>
    <w:rsid w:val="00161A6C"/>
    <w:rsid w:val="00161BE4"/>
    <w:rsid w:val="00162289"/>
    <w:rsid w:val="0016420A"/>
    <w:rsid w:val="001662B3"/>
    <w:rsid w:val="00173256"/>
    <w:rsid w:val="00175BF2"/>
    <w:rsid w:val="00190C40"/>
    <w:rsid w:val="001B04AD"/>
    <w:rsid w:val="001B1193"/>
    <w:rsid w:val="001B2349"/>
    <w:rsid w:val="001B4F5E"/>
    <w:rsid w:val="001C07E6"/>
    <w:rsid w:val="001C5536"/>
    <w:rsid w:val="001D039B"/>
    <w:rsid w:val="001D1D74"/>
    <w:rsid w:val="001E146C"/>
    <w:rsid w:val="001F465F"/>
    <w:rsid w:val="00200B0C"/>
    <w:rsid w:val="002022B2"/>
    <w:rsid w:val="00202CEF"/>
    <w:rsid w:val="00207E05"/>
    <w:rsid w:val="00226181"/>
    <w:rsid w:val="00227116"/>
    <w:rsid w:val="00234C1B"/>
    <w:rsid w:val="002447C0"/>
    <w:rsid w:val="002473C0"/>
    <w:rsid w:val="00255B97"/>
    <w:rsid w:val="00256B34"/>
    <w:rsid w:val="00260F3A"/>
    <w:rsid w:val="00275C35"/>
    <w:rsid w:val="00281B17"/>
    <w:rsid w:val="002838F4"/>
    <w:rsid w:val="00285692"/>
    <w:rsid w:val="00293BFF"/>
    <w:rsid w:val="00294E18"/>
    <w:rsid w:val="00296115"/>
    <w:rsid w:val="002A2E27"/>
    <w:rsid w:val="002A6713"/>
    <w:rsid w:val="002B2B61"/>
    <w:rsid w:val="002B72DC"/>
    <w:rsid w:val="002C281A"/>
    <w:rsid w:val="002C513B"/>
    <w:rsid w:val="002D1313"/>
    <w:rsid w:val="002D4AE2"/>
    <w:rsid w:val="002E5F30"/>
    <w:rsid w:val="002E7433"/>
    <w:rsid w:val="002F02F1"/>
    <w:rsid w:val="002F09B3"/>
    <w:rsid w:val="002F1C08"/>
    <w:rsid w:val="003165C3"/>
    <w:rsid w:val="003223BB"/>
    <w:rsid w:val="00326BBB"/>
    <w:rsid w:val="003273DB"/>
    <w:rsid w:val="00334CC9"/>
    <w:rsid w:val="003762BC"/>
    <w:rsid w:val="00377530"/>
    <w:rsid w:val="00386DDE"/>
    <w:rsid w:val="00391BC5"/>
    <w:rsid w:val="00397D08"/>
    <w:rsid w:val="003A61E3"/>
    <w:rsid w:val="003B6687"/>
    <w:rsid w:val="003C3DF4"/>
    <w:rsid w:val="003C5C9E"/>
    <w:rsid w:val="003E26EE"/>
    <w:rsid w:val="003E4742"/>
    <w:rsid w:val="003F3333"/>
    <w:rsid w:val="003F3AC3"/>
    <w:rsid w:val="00402507"/>
    <w:rsid w:val="00407B8E"/>
    <w:rsid w:val="0041059C"/>
    <w:rsid w:val="0041483F"/>
    <w:rsid w:val="004246BB"/>
    <w:rsid w:val="00424C50"/>
    <w:rsid w:val="00437B00"/>
    <w:rsid w:val="00447D0B"/>
    <w:rsid w:val="004502DC"/>
    <w:rsid w:val="004513FB"/>
    <w:rsid w:val="00456940"/>
    <w:rsid w:val="00457E0F"/>
    <w:rsid w:val="00481E66"/>
    <w:rsid w:val="00486C9E"/>
    <w:rsid w:val="004948C2"/>
    <w:rsid w:val="0049689D"/>
    <w:rsid w:val="004A5E52"/>
    <w:rsid w:val="004B0FC3"/>
    <w:rsid w:val="004B27D8"/>
    <w:rsid w:val="004B3A74"/>
    <w:rsid w:val="004C1E12"/>
    <w:rsid w:val="004E3A10"/>
    <w:rsid w:val="004E6B6B"/>
    <w:rsid w:val="004F432B"/>
    <w:rsid w:val="004F52B3"/>
    <w:rsid w:val="004F7E1F"/>
    <w:rsid w:val="00500A8C"/>
    <w:rsid w:val="00505449"/>
    <w:rsid w:val="005120E4"/>
    <w:rsid w:val="00517CFF"/>
    <w:rsid w:val="00517D61"/>
    <w:rsid w:val="00520B21"/>
    <w:rsid w:val="00522651"/>
    <w:rsid w:val="005317E0"/>
    <w:rsid w:val="005318E4"/>
    <w:rsid w:val="00532B51"/>
    <w:rsid w:val="00535420"/>
    <w:rsid w:val="00544F0C"/>
    <w:rsid w:val="00544F1B"/>
    <w:rsid w:val="00553AC2"/>
    <w:rsid w:val="00567DC0"/>
    <w:rsid w:val="00571CCC"/>
    <w:rsid w:val="005902A2"/>
    <w:rsid w:val="00590A72"/>
    <w:rsid w:val="005921B7"/>
    <w:rsid w:val="005954AF"/>
    <w:rsid w:val="005B28C8"/>
    <w:rsid w:val="005B414B"/>
    <w:rsid w:val="005C1842"/>
    <w:rsid w:val="005D1A54"/>
    <w:rsid w:val="005D4DB3"/>
    <w:rsid w:val="005D7019"/>
    <w:rsid w:val="005D79D2"/>
    <w:rsid w:val="005E1027"/>
    <w:rsid w:val="005E3139"/>
    <w:rsid w:val="005E7F1C"/>
    <w:rsid w:val="005F72FC"/>
    <w:rsid w:val="00603592"/>
    <w:rsid w:val="0060602E"/>
    <w:rsid w:val="00621031"/>
    <w:rsid w:val="006263FE"/>
    <w:rsid w:val="00634E32"/>
    <w:rsid w:val="00643E34"/>
    <w:rsid w:val="006708F6"/>
    <w:rsid w:val="006709A4"/>
    <w:rsid w:val="00672633"/>
    <w:rsid w:val="006736C0"/>
    <w:rsid w:val="00676C35"/>
    <w:rsid w:val="00685FD6"/>
    <w:rsid w:val="00690615"/>
    <w:rsid w:val="00691C28"/>
    <w:rsid w:val="006938E2"/>
    <w:rsid w:val="006A070E"/>
    <w:rsid w:val="006A17D0"/>
    <w:rsid w:val="006B2808"/>
    <w:rsid w:val="006B367F"/>
    <w:rsid w:val="006B612D"/>
    <w:rsid w:val="006B7ACB"/>
    <w:rsid w:val="006C70A2"/>
    <w:rsid w:val="006D1072"/>
    <w:rsid w:val="006D3F4C"/>
    <w:rsid w:val="006D4766"/>
    <w:rsid w:val="006E5B2C"/>
    <w:rsid w:val="006F2CE8"/>
    <w:rsid w:val="006F6198"/>
    <w:rsid w:val="00710C1D"/>
    <w:rsid w:val="00717B2C"/>
    <w:rsid w:val="00730C99"/>
    <w:rsid w:val="007334EC"/>
    <w:rsid w:val="007420D8"/>
    <w:rsid w:val="0074681A"/>
    <w:rsid w:val="00753D31"/>
    <w:rsid w:val="00754753"/>
    <w:rsid w:val="007551F6"/>
    <w:rsid w:val="0075665A"/>
    <w:rsid w:val="00767558"/>
    <w:rsid w:val="0079044A"/>
    <w:rsid w:val="00794329"/>
    <w:rsid w:val="007A640A"/>
    <w:rsid w:val="007B3F8E"/>
    <w:rsid w:val="007B513D"/>
    <w:rsid w:val="007B5CC5"/>
    <w:rsid w:val="007D0D13"/>
    <w:rsid w:val="007D1DC1"/>
    <w:rsid w:val="007D35E8"/>
    <w:rsid w:val="007D44EF"/>
    <w:rsid w:val="007E0A5D"/>
    <w:rsid w:val="007E4D42"/>
    <w:rsid w:val="007F75D7"/>
    <w:rsid w:val="00800499"/>
    <w:rsid w:val="00805131"/>
    <w:rsid w:val="00805A31"/>
    <w:rsid w:val="00812594"/>
    <w:rsid w:val="008146B4"/>
    <w:rsid w:val="0082351B"/>
    <w:rsid w:val="008239AB"/>
    <w:rsid w:val="00823A8B"/>
    <w:rsid w:val="008342A3"/>
    <w:rsid w:val="008343B1"/>
    <w:rsid w:val="00834C37"/>
    <w:rsid w:val="00835C74"/>
    <w:rsid w:val="0084547A"/>
    <w:rsid w:val="00846EB2"/>
    <w:rsid w:val="008479AD"/>
    <w:rsid w:val="00851766"/>
    <w:rsid w:val="008544CD"/>
    <w:rsid w:val="00860AFA"/>
    <w:rsid w:val="00880544"/>
    <w:rsid w:val="00886CDA"/>
    <w:rsid w:val="008930B6"/>
    <w:rsid w:val="008935F0"/>
    <w:rsid w:val="0089546A"/>
    <w:rsid w:val="008A174D"/>
    <w:rsid w:val="008A3102"/>
    <w:rsid w:val="008B04FD"/>
    <w:rsid w:val="008B0A18"/>
    <w:rsid w:val="008C4939"/>
    <w:rsid w:val="008C6446"/>
    <w:rsid w:val="008C6654"/>
    <w:rsid w:val="008D527A"/>
    <w:rsid w:val="008D6630"/>
    <w:rsid w:val="008E0210"/>
    <w:rsid w:val="008E70FE"/>
    <w:rsid w:val="008F43A6"/>
    <w:rsid w:val="008F4785"/>
    <w:rsid w:val="008F4DA1"/>
    <w:rsid w:val="00901489"/>
    <w:rsid w:val="00901C52"/>
    <w:rsid w:val="00910FB1"/>
    <w:rsid w:val="00912B26"/>
    <w:rsid w:val="00931706"/>
    <w:rsid w:val="00936888"/>
    <w:rsid w:val="00937F73"/>
    <w:rsid w:val="00940F45"/>
    <w:rsid w:val="00947746"/>
    <w:rsid w:val="0095030A"/>
    <w:rsid w:val="00950F95"/>
    <w:rsid w:val="009539AE"/>
    <w:rsid w:val="009675E6"/>
    <w:rsid w:val="00970292"/>
    <w:rsid w:val="009706E5"/>
    <w:rsid w:val="009755AA"/>
    <w:rsid w:val="00977CF1"/>
    <w:rsid w:val="009855B4"/>
    <w:rsid w:val="0098647E"/>
    <w:rsid w:val="00993F99"/>
    <w:rsid w:val="00995C17"/>
    <w:rsid w:val="009A163B"/>
    <w:rsid w:val="009A4B07"/>
    <w:rsid w:val="009A6507"/>
    <w:rsid w:val="009B4028"/>
    <w:rsid w:val="009C152F"/>
    <w:rsid w:val="009D413E"/>
    <w:rsid w:val="009D57D6"/>
    <w:rsid w:val="009E136E"/>
    <w:rsid w:val="009E2D03"/>
    <w:rsid w:val="009F67FA"/>
    <w:rsid w:val="00A04B04"/>
    <w:rsid w:val="00A076C8"/>
    <w:rsid w:val="00A263FB"/>
    <w:rsid w:val="00A318F5"/>
    <w:rsid w:val="00A369FC"/>
    <w:rsid w:val="00A36E5A"/>
    <w:rsid w:val="00A37B04"/>
    <w:rsid w:val="00A40959"/>
    <w:rsid w:val="00A40A06"/>
    <w:rsid w:val="00A456E4"/>
    <w:rsid w:val="00A53218"/>
    <w:rsid w:val="00A56D1B"/>
    <w:rsid w:val="00A70E29"/>
    <w:rsid w:val="00A7315B"/>
    <w:rsid w:val="00A76F67"/>
    <w:rsid w:val="00A86BE1"/>
    <w:rsid w:val="00A86CBD"/>
    <w:rsid w:val="00A93A10"/>
    <w:rsid w:val="00AA312A"/>
    <w:rsid w:val="00AA6F9F"/>
    <w:rsid w:val="00AA6FEF"/>
    <w:rsid w:val="00AB680F"/>
    <w:rsid w:val="00AC15C7"/>
    <w:rsid w:val="00AC7D52"/>
    <w:rsid w:val="00AD1D6B"/>
    <w:rsid w:val="00AD29DF"/>
    <w:rsid w:val="00AE1C41"/>
    <w:rsid w:val="00B04AF0"/>
    <w:rsid w:val="00B05976"/>
    <w:rsid w:val="00B0684C"/>
    <w:rsid w:val="00B1094C"/>
    <w:rsid w:val="00B2075E"/>
    <w:rsid w:val="00B26187"/>
    <w:rsid w:val="00B26A72"/>
    <w:rsid w:val="00B33294"/>
    <w:rsid w:val="00B4277C"/>
    <w:rsid w:val="00B43741"/>
    <w:rsid w:val="00B63393"/>
    <w:rsid w:val="00B637F7"/>
    <w:rsid w:val="00B63A2D"/>
    <w:rsid w:val="00B80C7D"/>
    <w:rsid w:val="00B83599"/>
    <w:rsid w:val="00B936D4"/>
    <w:rsid w:val="00B93F91"/>
    <w:rsid w:val="00BA00D8"/>
    <w:rsid w:val="00BA0738"/>
    <w:rsid w:val="00BA3BD7"/>
    <w:rsid w:val="00BA66E6"/>
    <w:rsid w:val="00BB6047"/>
    <w:rsid w:val="00BD57DB"/>
    <w:rsid w:val="00BE669F"/>
    <w:rsid w:val="00BE78E8"/>
    <w:rsid w:val="00BF09E7"/>
    <w:rsid w:val="00BF6FE9"/>
    <w:rsid w:val="00BF7201"/>
    <w:rsid w:val="00C0353C"/>
    <w:rsid w:val="00C064D1"/>
    <w:rsid w:val="00C149E0"/>
    <w:rsid w:val="00C157AD"/>
    <w:rsid w:val="00C16BEE"/>
    <w:rsid w:val="00C21088"/>
    <w:rsid w:val="00C2387F"/>
    <w:rsid w:val="00C34660"/>
    <w:rsid w:val="00C44F0D"/>
    <w:rsid w:val="00C44FC4"/>
    <w:rsid w:val="00C513B8"/>
    <w:rsid w:val="00C55D61"/>
    <w:rsid w:val="00C6093A"/>
    <w:rsid w:val="00C641F1"/>
    <w:rsid w:val="00C661AF"/>
    <w:rsid w:val="00C70D1E"/>
    <w:rsid w:val="00C742F0"/>
    <w:rsid w:val="00C87E23"/>
    <w:rsid w:val="00C91FA2"/>
    <w:rsid w:val="00C934E0"/>
    <w:rsid w:val="00C9390E"/>
    <w:rsid w:val="00C96130"/>
    <w:rsid w:val="00C97992"/>
    <w:rsid w:val="00CB2C44"/>
    <w:rsid w:val="00CB4A09"/>
    <w:rsid w:val="00CB7B5E"/>
    <w:rsid w:val="00CC5BED"/>
    <w:rsid w:val="00CD00D8"/>
    <w:rsid w:val="00CD0896"/>
    <w:rsid w:val="00CD1239"/>
    <w:rsid w:val="00CD2479"/>
    <w:rsid w:val="00CD3145"/>
    <w:rsid w:val="00CD615A"/>
    <w:rsid w:val="00CE2398"/>
    <w:rsid w:val="00CF0D91"/>
    <w:rsid w:val="00CF16F8"/>
    <w:rsid w:val="00CF1EDF"/>
    <w:rsid w:val="00CF3711"/>
    <w:rsid w:val="00CF3795"/>
    <w:rsid w:val="00CF5183"/>
    <w:rsid w:val="00D14BC5"/>
    <w:rsid w:val="00D203DB"/>
    <w:rsid w:val="00D24F20"/>
    <w:rsid w:val="00D25D11"/>
    <w:rsid w:val="00D26130"/>
    <w:rsid w:val="00D362CC"/>
    <w:rsid w:val="00D4096A"/>
    <w:rsid w:val="00D50BCF"/>
    <w:rsid w:val="00D523C8"/>
    <w:rsid w:val="00D52B16"/>
    <w:rsid w:val="00D56485"/>
    <w:rsid w:val="00D61706"/>
    <w:rsid w:val="00D65463"/>
    <w:rsid w:val="00D66D43"/>
    <w:rsid w:val="00D727CA"/>
    <w:rsid w:val="00D833C0"/>
    <w:rsid w:val="00D83692"/>
    <w:rsid w:val="00D94010"/>
    <w:rsid w:val="00D955C6"/>
    <w:rsid w:val="00DA4D27"/>
    <w:rsid w:val="00DB013D"/>
    <w:rsid w:val="00DB230B"/>
    <w:rsid w:val="00DC5708"/>
    <w:rsid w:val="00DC62D5"/>
    <w:rsid w:val="00DD2961"/>
    <w:rsid w:val="00DD5CB8"/>
    <w:rsid w:val="00DE196D"/>
    <w:rsid w:val="00DE293D"/>
    <w:rsid w:val="00DE33E1"/>
    <w:rsid w:val="00DF232E"/>
    <w:rsid w:val="00DF24CF"/>
    <w:rsid w:val="00E104CF"/>
    <w:rsid w:val="00E13F29"/>
    <w:rsid w:val="00E1552C"/>
    <w:rsid w:val="00E16151"/>
    <w:rsid w:val="00E165D7"/>
    <w:rsid w:val="00E17E47"/>
    <w:rsid w:val="00E30777"/>
    <w:rsid w:val="00E40839"/>
    <w:rsid w:val="00E510DD"/>
    <w:rsid w:val="00E60338"/>
    <w:rsid w:val="00E70A87"/>
    <w:rsid w:val="00E72DCB"/>
    <w:rsid w:val="00E767BB"/>
    <w:rsid w:val="00E7726C"/>
    <w:rsid w:val="00E83370"/>
    <w:rsid w:val="00E96658"/>
    <w:rsid w:val="00E97301"/>
    <w:rsid w:val="00EA3A74"/>
    <w:rsid w:val="00EA3AC6"/>
    <w:rsid w:val="00EA7D90"/>
    <w:rsid w:val="00EC26E4"/>
    <w:rsid w:val="00EC33AD"/>
    <w:rsid w:val="00EC6E46"/>
    <w:rsid w:val="00ED7BFF"/>
    <w:rsid w:val="00EE138D"/>
    <w:rsid w:val="00EE5D46"/>
    <w:rsid w:val="00EF6F4D"/>
    <w:rsid w:val="00EF7001"/>
    <w:rsid w:val="00EF749D"/>
    <w:rsid w:val="00F0064E"/>
    <w:rsid w:val="00F02B38"/>
    <w:rsid w:val="00F075CE"/>
    <w:rsid w:val="00F077D7"/>
    <w:rsid w:val="00F1175D"/>
    <w:rsid w:val="00F1208F"/>
    <w:rsid w:val="00F126DB"/>
    <w:rsid w:val="00F22625"/>
    <w:rsid w:val="00F227F9"/>
    <w:rsid w:val="00F27BC0"/>
    <w:rsid w:val="00F33479"/>
    <w:rsid w:val="00F37DF8"/>
    <w:rsid w:val="00F411E0"/>
    <w:rsid w:val="00F41342"/>
    <w:rsid w:val="00F46A37"/>
    <w:rsid w:val="00F50850"/>
    <w:rsid w:val="00F567DB"/>
    <w:rsid w:val="00F6349D"/>
    <w:rsid w:val="00F67CDA"/>
    <w:rsid w:val="00F72349"/>
    <w:rsid w:val="00F73743"/>
    <w:rsid w:val="00F774D1"/>
    <w:rsid w:val="00F852C7"/>
    <w:rsid w:val="00F93357"/>
    <w:rsid w:val="00F976B1"/>
    <w:rsid w:val="00FA0D18"/>
    <w:rsid w:val="00FB6123"/>
    <w:rsid w:val="00FB67FE"/>
    <w:rsid w:val="00FC24C1"/>
    <w:rsid w:val="00FC27B9"/>
    <w:rsid w:val="00FD6B8D"/>
    <w:rsid w:val="00FE2B05"/>
    <w:rsid w:val="00FF04B2"/>
    <w:rsid w:val="00FF25B5"/>
    <w:rsid w:val="5C1E8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816F0"/>
  <w15:chartTrackingRefBased/>
  <w15:docId w15:val="{F07EA0CD-6848-4B6F-9C35-3D34897F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0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4E"/>
  </w:style>
  <w:style w:type="table" w:styleId="TableGrid">
    <w:name w:val="Table Grid"/>
    <w:basedOn w:val="TableNormal"/>
    <w:uiPriority w:val="39"/>
    <w:rsid w:val="00F0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64E"/>
    <w:pPr>
      <w:ind w:left="720"/>
      <w:contextualSpacing/>
    </w:pPr>
  </w:style>
  <w:style w:type="paragraph" w:styleId="Header">
    <w:name w:val="header"/>
    <w:basedOn w:val="Normal"/>
    <w:link w:val="HeaderChar"/>
    <w:unhideWhenUsed/>
    <w:rsid w:val="00F0064E"/>
    <w:pPr>
      <w:tabs>
        <w:tab w:val="center" w:pos="4513"/>
        <w:tab w:val="right" w:pos="9026"/>
      </w:tabs>
      <w:spacing w:after="0" w:line="240" w:lineRule="auto"/>
    </w:pPr>
  </w:style>
  <w:style w:type="character" w:customStyle="1" w:styleId="HeaderChar">
    <w:name w:val="Header Char"/>
    <w:basedOn w:val="DefaultParagraphFont"/>
    <w:link w:val="Header"/>
    <w:rsid w:val="00F0064E"/>
  </w:style>
  <w:style w:type="paragraph" w:styleId="BalloonText">
    <w:name w:val="Balloon Text"/>
    <w:basedOn w:val="Normal"/>
    <w:link w:val="BalloonTextChar"/>
    <w:uiPriority w:val="99"/>
    <w:semiHidden/>
    <w:unhideWhenUsed/>
    <w:rsid w:val="003B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687"/>
    <w:rPr>
      <w:rFonts w:ascii="Segoe UI" w:hAnsi="Segoe UI" w:cs="Segoe UI"/>
      <w:sz w:val="18"/>
      <w:szCs w:val="18"/>
    </w:rPr>
  </w:style>
  <w:style w:type="paragraph" w:styleId="NoSpacing">
    <w:name w:val="No Spacing"/>
    <w:uiPriority w:val="1"/>
    <w:qFormat/>
    <w:rsid w:val="008F4785"/>
    <w:pPr>
      <w:spacing w:after="0" w:line="240" w:lineRule="auto"/>
    </w:pPr>
  </w:style>
  <w:style w:type="character" w:styleId="CommentReference">
    <w:name w:val="annotation reference"/>
    <w:basedOn w:val="DefaultParagraphFont"/>
    <w:uiPriority w:val="99"/>
    <w:semiHidden/>
    <w:unhideWhenUsed/>
    <w:rsid w:val="00FC24C1"/>
    <w:rPr>
      <w:sz w:val="16"/>
      <w:szCs w:val="16"/>
    </w:rPr>
  </w:style>
  <w:style w:type="paragraph" w:styleId="CommentText">
    <w:name w:val="annotation text"/>
    <w:basedOn w:val="Normal"/>
    <w:link w:val="CommentTextChar"/>
    <w:uiPriority w:val="99"/>
    <w:semiHidden/>
    <w:unhideWhenUsed/>
    <w:rsid w:val="00FC24C1"/>
    <w:pPr>
      <w:spacing w:line="240" w:lineRule="auto"/>
    </w:pPr>
    <w:rPr>
      <w:sz w:val="20"/>
      <w:szCs w:val="20"/>
    </w:rPr>
  </w:style>
  <w:style w:type="character" w:customStyle="1" w:styleId="CommentTextChar">
    <w:name w:val="Comment Text Char"/>
    <w:basedOn w:val="DefaultParagraphFont"/>
    <w:link w:val="CommentText"/>
    <w:uiPriority w:val="99"/>
    <w:semiHidden/>
    <w:rsid w:val="00FC24C1"/>
    <w:rPr>
      <w:sz w:val="20"/>
      <w:szCs w:val="20"/>
    </w:rPr>
  </w:style>
  <w:style w:type="paragraph" w:styleId="CommentSubject">
    <w:name w:val="annotation subject"/>
    <w:basedOn w:val="CommentText"/>
    <w:next w:val="CommentText"/>
    <w:link w:val="CommentSubjectChar"/>
    <w:uiPriority w:val="99"/>
    <w:semiHidden/>
    <w:unhideWhenUsed/>
    <w:rsid w:val="00FC24C1"/>
    <w:rPr>
      <w:b/>
      <w:bCs/>
    </w:rPr>
  </w:style>
  <w:style w:type="character" w:customStyle="1" w:styleId="CommentSubjectChar">
    <w:name w:val="Comment Subject Char"/>
    <w:basedOn w:val="CommentTextChar"/>
    <w:link w:val="CommentSubject"/>
    <w:uiPriority w:val="99"/>
    <w:semiHidden/>
    <w:rsid w:val="00FC24C1"/>
    <w:rPr>
      <w:b/>
      <w:bCs/>
      <w:sz w:val="20"/>
      <w:szCs w:val="20"/>
    </w:rPr>
  </w:style>
  <w:style w:type="paragraph" w:styleId="NormalWeb">
    <w:name w:val="Normal (Web)"/>
    <w:basedOn w:val="Normal"/>
    <w:uiPriority w:val="99"/>
    <w:semiHidden/>
    <w:unhideWhenUsed/>
    <w:rsid w:val="00C934E0"/>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481E66"/>
    <w:rPr>
      <w:color w:val="808080"/>
    </w:rPr>
  </w:style>
  <w:style w:type="paragraph" w:styleId="BodyText">
    <w:name w:val="Body Text"/>
    <w:basedOn w:val="Normal"/>
    <w:link w:val="BodyTextChar"/>
    <w:rsid w:val="007B5CC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5C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3321">
      <w:bodyDiv w:val="1"/>
      <w:marLeft w:val="0"/>
      <w:marRight w:val="0"/>
      <w:marTop w:val="0"/>
      <w:marBottom w:val="0"/>
      <w:divBdr>
        <w:top w:val="none" w:sz="0" w:space="0" w:color="auto"/>
        <w:left w:val="none" w:sz="0" w:space="0" w:color="auto"/>
        <w:bottom w:val="none" w:sz="0" w:space="0" w:color="auto"/>
        <w:right w:val="none" w:sz="0" w:space="0" w:color="auto"/>
      </w:divBdr>
    </w:div>
    <w:div w:id="1156268020">
      <w:bodyDiv w:val="1"/>
      <w:marLeft w:val="0"/>
      <w:marRight w:val="0"/>
      <w:marTop w:val="0"/>
      <w:marBottom w:val="0"/>
      <w:divBdr>
        <w:top w:val="none" w:sz="0" w:space="0" w:color="auto"/>
        <w:left w:val="none" w:sz="0" w:space="0" w:color="auto"/>
        <w:bottom w:val="none" w:sz="0" w:space="0" w:color="auto"/>
        <w:right w:val="none" w:sz="0" w:space="0" w:color="auto"/>
      </w:divBdr>
    </w:div>
    <w:div w:id="1256210048">
      <w:bodyDiv w:val="1"/>
      <w:marLeft w:val="0"/>
      <w:marRight w:val="0"/>
      <w:marTop w:val="0"/>
      <w:marBottom w:val="0"/>
      <w:divBdr>
        <w:top w:val="none" w:sz="0" w:space="0" w:color="auto"/>
        <w:left w:val="none" w:sz="0" w:space="0" w:color="auto"/>
        <w:bottom w:val="none" w:sz="0" w:space="0" w:color="auto"/>
        <w:right w:val="none" w:sz="0" w:space="0" w:color="auto"/>
      </w:divBdr>
    </w:div>
    <w:div w:id="1906211500">
      <w:bodyDiv w:val="1"/>
      <w:marLeft w:val="0"/>
      <w:marRight w:val="0"/>
      <w:marTop w:val="0"/>
      <w:marBottom w:val="0"/>
      <w:divBdr>
        <w:top w:val="none" w:sz="0" w:space="0" w:color="auto"/>
        <w:left w:val="none" w:sz="0" w:space="0" w:color="auto"/>
        <w:bottom w:val="none" w:sz="0" w:space="0" w:color="auto"/>
        <w:right w:val="none" w:sz="0" w:space="0" w:color="auto"/>
      </w:divBdr>
    </w:div>
    <w:div w:id="20800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01B5-8DE2-4D4E-93E5-4AB0CFFB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Sheffield College</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Godber</dc:creator>
  <cp:keywords/>
  <dc:description/>
  <cp:lastModifiedBy>Nicola Smith</cp:lastModifiedBy>
  <cp:revision>3</cp:revision>
  <cp:lastPrinted>2019-06-03T13:46:00Z</cp:lastPrinted>
  <dcterms:created xsi:type="dcterms:W3CDTF">2022-06-05T14:18:00Z</dcterms:created>
  <dcterms:modified xsi:type="dcterms:W3CDTF">2022-07-04T12:17:00Z</dcterms:modified>
</cp:coreProperties>
</file>